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39" w:rsidRPr="00AA4F65" w:rsidRDefault="003F5039" w:rsidP="00AA4F65">
      <w:pPr>
        <w:spacing w:after="150" w:line="600" w:lineRule="atLeast"/>
        <w:jc w:val="both"/>
        <w:outlineLvl w:val="0"/>
        <w:rPr>
          <w:rFonts w:eastAsia="Times New Roman" w:cstheme="minorHAnsi"/>
          <w:bCs/>
          <w:caps/>
          <w:color w:val="000000"/>
          <w:kern w:val="36"/>
          <w:sz w:val="24"/>
          <w:szCs w:val="24"/>
          <w:lang w:eastAsia="it-IT"/>
        </w:rPr>
      </w:pPr>
      <w:r w:rsidRPr="00AA4F65">
        <w:rPr>
          <w:rFonts w:eastAsia="Times New Roman" w:cstheme="minorHAnsi"/>
          <w:bCs/>
          <w:caps/>
          <w:color w:val="000000"/>
          <w:kern w:val="36"/>
          <w:sz w:val="24"/>
          <w:szCs w:val="24"/>
          <w:lang w:eastAsia="it-IT"/>
        </w:rPr>
        <w:t xml:space="preserve">La Commissione Statistica delle Nazioni Unite ha approvato </w:t>
      </w:r>
      <w:r w:rsidR="00AA4F65" w:rsidRPr="00AA4F65">
        <w:rPr>
          <w:rFonts w:eastAsia="Times New Roman" w:cstheme="minorHAnsi"/>
          <w:bCs/>
          <w:caps/>
          <w:color w:val="000000"/>
          <w:kern w:val="36"/>
          <w:sz w:val="24"/>
          <w:szCs w:val="24"/>
          <w:lang w:eastAsia="it-IT"/>
        </w:rPr>
        <w:t>una lista d</w:t>
      </w:r>
      <w:r w:rsidRPr="00AA4F65">
        <w:rPr>
          <w:rFonts w:eastAsia="Times New Roman" w:cstheme="minorHAnsi"/>
          <w:bCs/>
          <w:caps/>
          <w:color w:val="000000"/>
          <w:kern w:val="36"/>
          <w:sz w:val="24"/>
          <w:szCs w:val="24"/>
          <w:lang w:eastAsia="it-IT"/>
        </w:rPr>
        <w:t>i 240 indicatori statistici attraverso i quali verranno monitorati i percorsi di avvicinamento agli Obiettivi di Sviluppo Sostenibile seguiti dai vari paesi.</w:t>
      </w:r>
    </w:p>
    <w:p w:rsidR="003F5039" w:rsidRPr="00AA4F65" w:rsidRDefault="003F5039" w:rsidP="00AA4F65">
      <w:pPr>
        <w:spacing w:after="150" w:line="600" w:lineRule="atLeast"/>
        <w:jc w:val="both"/>
        <w:outlineLvl w:val="0"/>
        <w:rPr>
          <w:rFonts w:eastAsia="Times New Roman" w:cstheme="minorHAnsi"/>
          <w:bCs/>
          <w:caps/>
          <w:color w:val="000000"/>
          <w:kern w:val="36"/>
          <w:sz w:val="24"/>
          <w:szCs w:val="24"/>
          <w:lang w:eastAsia="it-IT"/>
        </w:rPr>
      </w:pPr>
      <w:r w:rsidRPr="00AA4F65">
        <w:rPr>
          <w:rFonts w:eastAsia="Times New Roman" w:cstheme="minorHAnsi"/>
          <w:bCs/>
          <w:caps/>
          <w:color w:val="000000"/>
          <w:kern w:val="36"/>
          <w:sz w:val="24"/>
          <w:szCs w:val="24"/>
          <w:lang w:eastAsia="it-IT"/>
        </w:rPr>
        <w:t>La lista è stata sviluppata attraverso un processo articolato che ha visto il coinvolgimento sia degli istituti di statistica, sia della società civile (in tutto oltre 400 soggetti), la quale ha proposto numerose integrazioni all’elenco inizialmente predisposto dalla Direzione Statistica delle Nazioni Unite.</w:t>
      </w:r>
      <w:r w:rsidR="00AA4F65" w:rsidRPr="00AA4F65">
        <w:rPr>
          <w:rFonts w:eastAsia="Times New Roman" w:cstheme="minorHAnsi"/>
          <w:bCs/>
          <w:caps/>
          <w:color w:val="000000"/>
          <w:kern w:val="36"/>
          <w:sz w:val="24"/>
          <w:szCs w:val="24"/>
          <w:lang w:eastAsia="it-IT"/>
        </w:rPr>
        <w:t xml:space="preserve"> </w:t>
      </w:r>
      <w:r w:rsidRPr="00AA4F65">
        <w:rPr>
          <w:rFonts w:eastAsia="Times New Roman" w:cstheme="minorHAnsi"/>
          <w:bCs/>
          <w:caps/>
          <w:color w:val="000000"/>
          <w:kern w:val="36"/>
          <w:sz w:val="24"/>
          <w:szCs w:val="24"/>
          <w:lang w:eastAsia="it-IT"/>
        </w:rPr>
        <w:t>La lista approvata contiene tre tipologie di indicatori: la prima riguarda indicatori per i quali esistono già metodologie di calcolo consolidate e i relativi dati (ad esempio, la quota di persone che vivono al disotto della soglia di 1,25 dollari al giorno). La seconda comprende, invece, indicatori i cui dettagli metodologici sono disponibili, ma per i quali esistono pochi dati. La terza riguarda indicatori per il cui calcolo bisogna ancora definire una metodologia adeguata. Il 55% circa degli indicatori ricade nella prima categoria, il 35% nella seconda, il 10% nella terza.</w:t>
      </w:r>
    </w:p>
    <w:p w:rsidR="003F5039" w:rsidRPr="00AA4F65" w:rsidRDefault="003F5039" w:rsidP="003F5039">
      <w:pPr>
        <w:spacing w:after="150" w:line="600" w:lineRule="atLeast"/>
        <w:outlineLvl w:val="0"/>
        <w:rPr>
          <w:rFonts w:eastAsia="Times New Roman" w:cstheme="minorHAnsi"/>
          <w:b/>
          <w:bCs/>
          <w:caps/>
          <w:color w:val="000000"/>
          <w:kern w:val="36"/>
          <w:sz w:val="24"/>
          <w:szCs w:val="24"/>
          <w:lang w:eastAsia="it-IT"/>
        </w:rPr>
      </w:pPr>
    </w:p>
    <w:p w:rsidR="006C043F" w:rsidRPr="006C043F" w:rsidRDefault="006C043F" w:rsidP="00E70189">
      <w:pPr>
        <w:rPr>
          <w:rFonts w:eastAsia="Times New Roman" w:cstheme="minorHAnsi"/>
          <w:b/>
          <w:bCs/>
          <w:caps/>
          <w:color w:val="000000"/>
          <w:kern w:val="36"/>
          <w:sz w:val="24"/>
          <w:szCs w:val="24"/>
          <w:lang w:eastAsia="it-IT"/>
        </w:rPr>
      </w:pPr>
      <w:r w:rsidRPr="00AA4F65">
        <w:rPr>
          <w:rFonts w:cstheme="minorHAnsi"/>
          <w:color w:val="3B3B3B"/>
          <w:sz w:val="24"/>
          <w:szCs w:val="24"/>
        </w:rPr>
        <w:br/>
      </w:r>
      <w:r w:rsidRPr="00AA4F65">
        <w:rPr>
          <w:rFonts w:cstheme="minorHAnsi"/>
          <w:color w:val="3B3B3B"/>
        </w:rPr>
        <w:br/>
      </w:r>
      <w:r w:rsidRPr="006C043F">
        <w:rPr>
          <w:rFonts w:eastAsia="Times New Roman" w:cstheme="minorHAnsi"/>
          <w:b/>
          <w:bCs/>
          <w:caps/>
          <w:color w:val="000000"/>
          <w:kern w:val="36"/>
          <w:sz w:val="24"/>
          <w:szCs w:val="24"/>
          <w:lang w:eastAsia="it-IT"/>
        </w:rPr>
        <w:t>4 – ISTRUZIONE DI QUALITÀ</w:t>
      </w:r>
    </w:p>
    <w:p w:rsidR="006C043F" w:rsidRPr="00AA4F65" w:rsidRDefault="006C043F" w:rsidP="006C043F">
      <w:pPr>
        <w:pStyle w:val="post-desc"/>
        <w:spacing w:before="420" w:beforeAutospacing="0" w:after="0" w:afterAutospacing="0" w:line="240" w:lineRule="atLeast"/>
        <w:rPr>
          <w:rFonts w:asciiTheme="minorHAnsi" w:hAnsiTheme="minorHAnsi" w:cstheme="minorHAnsi"/>
          <w:color w:val="3B3B3B"/>
        </w:rPr>
      </w:pPr>
      <w:r w:rsidRPr="00AA4F65">
        <w:rPr>
          <w:rStyle w:val="Enfasigrassetto"/>
          <w:rFonts w:asciiTheme="minorHAnsi" w:hAnsiTheme="minorHAnsi" w:cstheme="minorHAnsi"/>
          <w:color w:val="3B3B3B"/>
        </w:rPr>
        <w:t>INDICATORI</w:t>
      </w:r>
      <w:r w:rsidRPr="00AA4F65">
        <w:rPr>
          <w:rFonts w:asciiTheme="minorHAnsi" w:hAnsiTheme="minorHAnsi" w:cstheme="minorHAnsi"/>
          <w:color w:val="3B3B3B"/>
        </w:rPr>
        <w:br/>
      </w:r>
      <w:r w:rsidRPr="00AA4F65">
        <w:rPr>
          <w:rFonts w:asciiTheme="minorHAnsi" w:hAnsiTheme="minorHAnsi" w:cstheme="minorHAnsi"/>
          <w:color w:val="3B3B3B"/>
        </w:rPr>
        <w:br/>
        <w:t>4.1.1 Percentuale di bambini e giovani: (a) nella seconda e terza classe; (b) al termine della scuola primaria e (c) al termine della scuola secondaria inferiore con un livello di competenza minimo in (i) lettura e (ii) matematica, per sesso</w:t>
      </w:r>
      <w:r w:rsidRPr="00AA4F65">
        <w:rPr>
          <w:rFonts w:asciiTheme="minorHAnsi" w:hAnsiTheme="minorHAnsi" w:cstheme="minorHAnsi"/>
          <w:color w:val="3B3B3B"/>
        </w:rPr>
        <w:br/>
      </w:r>
      <w:r w:rsidRPr="00AA4F65">
        <w:rPr>
          <w:rFonts w:asciiTheme="minorHAnsi" w:hAnsiTheme="minorHAnsi" w:cstheme="minorHAnsi"/>
          <w:color w:val="3B3B3B"/>
        </w:rPr>
        <w:br/>
        <w:t>4.2.1 Percentuale di bambini sotto i 5 anni di età il cui sviluppo progredisce normalmente rispetto a salute, apprendimento e salute psicosociale, per sesso 4.2.2 Tasso di partecipazione nell’apprendimento organizzato (un anno prima dell’ingresso ufficiale nella scuola primaria), per sesso</w:t>
      </w:r>
      <w:r w:rsidRPr="00AA4F65">
        <w:rPr>
          <w:rFonts w:asciiTheme="minorHAnsi" w:hAnsiTheme="minorHAnsi" w:cstheme="minorHAnsi"/>
          <w:color w:val="3B3B3B"/>
        </w:rPr>
        <w:br/>
      </w:r>
      <w:r w:rsidRPr="00AA4F65">
        <w:rPr>
          <w:rFonts w:asciiTheme="minorHAnsi" w:hAnsiTheme="minorHAnsi" w:cstheme="minorHAnsi"/>
          <w:color w:val="3B3B3B"/>
        </w:rPr>
        <w:br/>
      </w:r>
      <w:r w:rsidRPr="00AA4F65">
        <w:rPr>
          <w:rFonts w:asciiTheme="minorHAnsi" w:hAnsiTheme="minorHAnsi" w:cstheme="minorHAnsi"/>
          <w:color w:val="3B3B3B"/>
        </w:rPr>
        <w:lastRenderedPageBreak/>
        <w:t>4.3.1 Tasso di partecipazione di giovani e adulti nell’istruzione e formazione formale e non formale nei 12 mesi precedenti, per sesso</w:t>
      </w:r>
      <w:r w:rsidRPr="00AA4F65">
        <w:rPr>
          <w:rFonts w:asciiTheme="minorHAnsi" w:hAnsiTheme="minorHAnsi" w:cstheme="minorHAnsi"/>
          <w:color w:val="3B3B3B"/>
        </w:rPr>
        <w:br/>
      </w:r>
      <w:r w:rsidRPr="00AA4F65">
        <w:rPr>
          <w:rFonts w:asciiTheme="minorHAnsi" w:hAnsiTheme="minorHAnsi" w:cstheme="minorHAnsi"/>
          <w:color w:val="3B3B3B"/>
        </w:rPr>
        <w:br/>
        <w:t>4.4.1 Percentuale di giovani e adulti con competenze nell’ambito delle tecnologia dell’informazione e comunicazione (TIC), per tipo di competenza</w:t>
      </w:r>
      <w:r w:rsidRPr="00AA4F65">
        <w:rPr>
          <w:rFonts w:asciiTheme="minorHAnsi" w:hAnsiTheme="minorHAnsi" w:cstheme="minorHAnsi"/>
          <w:color w:val="3B3B3B"/>
        </w:rPr>
        <w:br/>
      </w:r>
      <w:r w:rsidRPr="00AA4F65">
        <w:rPr>
          <w:rFonts w:asciiTheme="minorHAnsi" w:hAnsiTheme="minorHAnsi" w:cstheme="minorHAnsi"/>
          <w:color w:val="3B3B3B"/>
        </w:rPr>
        <w:br/>
        <w:t>4.5.1 Indici di parità (donna/uomo, rurale/urbano, quintile di ricchezza basso/alto e altri fattori come la disabilità, le popolazioni indigene o colpite da conflitti, sulla base dei dati disponibili) per tutti gli indicatori relativi all’istruzione presenti in questa lista che possono essere disaggregati</w:t>
      </w:r>
      <w:r w:rsidRPr="00AA4F65">
        <w:rPr>
          <w:rFonts w:asciiTheme="minorHAnsi" w:hAnsiTheme="minorHAnsi" w:cstheme="minorHAnsi"/>
          <w:color w:val="3B3B3B"/>
        </w:rPr>
        <w:br/>
      </w:r>
      <w:r w:rsidRPr="00AA4F65">
        <w:rPr>
          <w:rFonts w:asciiTheme="minorHAnsi" w:hAnsiTheme="minorHAnsi" w:cstheme="minorHAnsi"/>
          <w:color w:val="3B3B3B"/>
        </w:rPr>
        <w:br/>
        <w:t>4.6.1 Percentuale di popolazione in una determinata fascia d’età che ha raggiunto un livello minimo fissato di competenza in (a) alfabetizzazione funzionale e (b) capacità di calcolo, per sesso </w:t>
      </w:r>
      <w:r w:rsidRPr="00AA4F65">
        <w:rPr>
          <w:rFonts w:asciiTheme="minorHAnsi" w:hAnsiTheme="minorHAnsi" w:cstheme="minorHAnsi"/>
          <w:color w:val="3B3B3B"/>
        </w:rPr>
        <w:br/>
      </w:r>
      <w:r w:rsidRPr="00AA4F65">
        <w:rPr>
          <w:rFonts w:asciiTheme="minorHAnsi" w:hAnsiTheme="minorHAnsi" w:cstheme="minorHAnsi"/>
          <w:color w:val="3B3B3B"/>
        </w:rPr>
        <w:br/>
        <w:t>4.7.1 Misura in cui (i) l’educazione alla cittadinanza globale e (ii) l’educazione allo sviluppo sostenibile, inclusa l’uguaglianza di genere e i diritti umani, sono integrati a tutti i livelli in: (a) politiche nazionali di istruzione, (b) programmi, (c) formazione degli insegnanti e (d) valutazione degli studenti</w:t>
      </w:r>
      <w:r w:rsidRPr="00AA4F65">
        <w:rPr>
          <w:rFonts w:asciiTheme="minorHAnsi" w:hAnsiTheme="minorHAnsi" w:cstheme="minorHAnsi"/>
          <w:color w:val="3B3B3B"/>
        </w:rPr>
        <w:br/>
      </w:r>
      <w:r w:rsidRPr="00AA4F65">
        <w:rPr>
          <w:rFonts w:asciiTheme="minorHAnsi" w:hAnsiTheme="minorHAnsi" w:cstheme="minorHAnsi"/>
          <w:color w:val="3B3B3B"/>
        </w:rPr>
        <w:br/>
        <w:t>4.A.1 Percentuale di scuole con accesso a: (a) elettricità; (b) Internet per finalità didattiche; (c) computer per finalità didattiche; (d) infrastrutture e materiali adatti per studenti con disabilità; (e) acqua potabile di base; (f) servizi igienico-sanitari distinti per sesso e (g) impianti di base per lavare le mani (come nelle definizioni dell’indicatore WASH)</w:t>
      </w:r>
      <w:r w:rsidRPr="00AA4F65">
        <w:rPr>
          <w:rFonts w:asciiTheme="minorHAnsi" w:hAnsiTheme="minorHAnsi" w:cstheme="minorHAnsi"/>
          <w:color w:val="3B3B3B"/>
        </w:rPr>
        <w:br/>
      </w:r>
      <w:r w:rsidRPr="00AA4F65">
        <w:rPr>
          <w:rFonts w:asciiTheme="minorHAnsi" w:hAnsiTheme="minorHAnsi" w:cstheme="minorHAnsi"/>
          <w:color w:val="3B3B3B"/>
        </w:rPr>
        <w:br/>
        <w:t>4.B.1 Volume di fondi di aiuti pubblici allo sviluppo per borse di studio divisi per settore e tipo di studio</w:t>
      </w:r>
      <w:r w:rsidRPr="00AA4F65">
        <w:rPr>
          <w:rFonts w:asciiTheme="minorHAnsi" w:hAnsiTheme="minorHAnsi" w:cstheme="minorHAnsi"/>
          <w:color w:val="3B3B3B"/>
        </w:rPr>
        <w:br/>
      </w:r>
      <w:r w:rsidRPr="00AA4F65">
        <w:rPr>
          <w:rFonts w:asciiTheme="minorHAnsi" w:hAnsiTheme="minorHAnsi" w:cstheme="minorHAnsi"/>
          <w:color w:val="3B3B3B"/>
        </w:rPr>
        <w:br/>
        <w:t xml:space="preserve">4.C.1 Percentuale di insegnanti in: (a) istruzione </w:t>
      </w:r>
      <w:proofErr w:type="spellStart"/>
      <w:r w:rsidRPr="00AA4F65">
        <w:rPr>
          <w:rFonts w:asciiTheme="minorHAnsi" w:hAnsiTheme="minorHAnsi" w:cstheme="minorHAnsi"/>
          <w:color w:val="3B3B3B"/>
        </w:rPr>
        <w:t>pre</w:t>
      </w:r>
      <w:proofErr w:type="spellEnd"/>
      <w:r w:rsidRPr="00AA4F65">
        <w:rPr>
          <w:rFonts w:asciiTheme="minorHAnsi" w:hAnsiTheme="minorHAnsi" w:cstheme="minorHAnsi"/>
          <w:color w:val="3B3B3B"/>
        </w:rPr>
        <w:t>-primaria; (b) primaria; (c) secondaria inferiore e (d) secondaria superiore che hanno ricevuto almeno la minima formazione organizzata per l’insegnamento (ad esempio una formazione pedagogica) prima o durante l’insegnamento, come previsto in un determinato Paese per l’attività didattica a tutti i livelli</w:t>
      </w:r>
    </w:p>
    <w:p w:rsidR="00986B0C" w:rsidRDefault="006C043F">
      <w:pPr>
        <w:rPr>
          <w:rFonts w:cstheme="minorHAnsi"/>
          <w:sz w:val="24"/>
          <w:szCs w:val="24"/>
        </w:rPr>
      </w:pPr>
      <w:r w:rsidRPr="00AA4F65">
        <w:rPr>
          <w:rFonts w:cstheme="minorHAnsi"/>
          <w:color w:val="3B3B3B"/>
          <w:sz w:val="24"/>
          <w:szCs w:val="24"/>
        </w:rPr>
        <w:br/>
      </w:r>
    </w:p>
    <w:p w:rsidR="00986B0C" w:rsidRDefault="00986B0C">
      <w:pPr>
        <w:rPr>
          <w:rFonts w:cstheme="minorHAnsi"/>
          <w:sz w:val="24"/>
          <w:szCs w:val="24"/>
        </w:rPr>
      </w:pPr>
      <w:r>
        <w:rPr>
          <w:rFonts w:cstheme="minorHAnsi"/>
          <w:sz w:val="24"/>
          <w:szCs w:val="24"/>
        </w:rPr>
        <w:br w:type="page"/>
      </w:r>
    </w:p>
    <w:p w:rsidR="006C043F" w:rsidRPr="00AA4F65" w:rsidRDefault="006C043F">
      <w:pPr>
        <w:rPr>
          <w:rFonts w:cstheme="minorHAnsi"/>
          <w:sz w:val="24"/>
          <w:szCs w:val="24"/>
        </w:rPr>
      </w:pPr>
    </w:p>
    <w:p w:rsidR="006C043F" w:rsidRPr="006C043F" w:rsidRDefault="006C043F" w:rsidP="006C043F">
      <w:pPr>
        <w:spacing w:after="150" w:line="600" w:lineRule="atLeast"/>
        <w:outlineLvl w:val="0"/>
        <w:rPr>
          <w:rFonts w:eastAsia="Times New Roman" w:cstheme="minorHAnsi"/>
          <w:b/>
          <w:bCs/>
          <w:caps/>
          <w:color w:val="000000"/>
          <w:kern w:val="36"/>
          <w:sz w:val="24"/>
          <w:szCs w:val="24"/>
          <w:lang w:eastAsia="it-IT"/>
        </w:rPr>
      </w:pPr>
      <w:r w:rsidRPr="006C043F">
        <w:rPr>
          <w:rFonts w:eastAsia="Times New Roman" w:cstheme="minorHAnsi"/>
          <w:b/>
          <w:bCs/>
          <w:caps/>
          <w:color w:val="000000"/>
          <w:kern w:val="36"/>
          <w:sz w:val="24"/>
          <w:szCs w:val="24"/>
          <w:lang w:eastAsia="it-IT"/>
        </w:rPr>
        <w:t>8 – LAVORO DIGNITOSO E CRESCITA ECONOMICA</w:t>
      </w:r>
    </w:p>
    <w:p w:rsidR="006C043F" w:rsidRPr="00AA4F65" w:rsidRDefault="006C043F">
      <w:pPr>
        <w:rPr>
          <w:rFonts w:cstheme="minorHAnsi"/>
          <w:color w:val="3B3B3B"/>
          <w:sz w:val="24"/>
          <w:szCs w:val="24"/>
          <w:shd w:val="clear" w:color="auto" w:fill="F9F9F9"/>
        </w:rPr>
      </w:pPr>
      <w:r w:rsidRPr="00AA4F65">
        <w:rPr>
          <w:rStyle w:val="Enfasigrassetto"/>
          <w:rFonts w:cstheme="minorHAnsi"/>
          <w:color w:val="3B3B3B"/>
          <w:sz w:val="24"/>
          <w:szCs w:val="24"/>
          <w:shd w:val="clear" w:color="auto" w:fill="F9F9F9"/>
        </w:rPr>
        <w:t>INDICATORI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8.1.1 Tasso di crescita annua del PIL reale pro capite</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8.2.1 Tasso di crescita annuale di PIL reale per persona occupata</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8.3.1 Percentuale di impiego informale in settore non agricolo, per sesso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8.4.1 Impronta sui materiali, impronta sui materiali pro capite e impronta sui materiali per PIL</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8.4.2 Consumo di materiale nazionale, consumo di materiale nazionale pro capite e consumo di materiale nazionale per PIL</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8.5.1 Remunerazione media oraria per donne e uomini occupati, per occupazione, età e persone con disabilità</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8.5.2 Tasso di disoccupazione, per sesso, età e persone con disabilità</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8.6.1 Percentuale di giovani (15-24 anni) che non studiano, non lavorano e non si formano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8.7.1 Percentuale e numero di bambini tra i 5 ei 17 anni impegnati nel lavoro minorile, per sesso ed età</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8.8.1 Tasso di frequenza di infortuni mortali e non mortali durante l’attività lavorativa, per sesso e status migratorio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8.8.2 Progresso nel rispetto dei diritti dei lavoratori a livello nazionale (libertà di associazione e contrattazione collettiva) sulla base delle fonti testuali dell’Organizzazione Internazionale del Lavoro (OIL) e della legislazione nazione, per sesso e status migratorio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8.9.1 PIL generato dal turismo in rapporto al PIL totale e nel tasso di crescita</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8.9.2 Numero di impieghi nel settore del turismo in rapporto al numero di impieghi totale e al tasso di crescita degli impieghi, per sesso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8.10.1 Numero di filiali di banche commerciali e sportello automatici di banca (ATM) ogni 100.000 adulti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8.10.2 Percentuale di adulti (dai 15 anni in su) con un conto in una banca o in altra istituzione finanziaria o un servizio finanziario accessibile tramite il telefono cellulare</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lastRenderedPageBreak/>
        <w:t>8.A.1 Impegni di aiuti al commercio ed erogazioni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8.B.1 Fondi totali erogati dal governo per la protezione sociale e programmi di occupazione in rapporto al bilancio nazionale e al PIL</w:t>
      </w:r>
    </w:p>
    <w:p w:rsidR="00986B0C" w:rsidRDefault="00986B0C">
      <w:pPr>
        <w:rPr>
          <w:rFonts w:eastAsia="Times New Roman" w:cstheme="minorHAnsi"/>
          <w:color w:val="3B3B3B"/>
          <w:sz w:val="24"/>
          <w:szCs w:val="24"/>
          <w:lang w:eastAsia="it-IT"/>
        </w:rPr>
      </w:pPr>
      <w:r>
        <w:rPr>
          <w:rFonts w:cstheme="minorHAnsi"/>
          <w:color w:val="3B3B3B"/>
        </w:rPr>
        <w:br w:type="page"/>
      </w:r>
    </w:p>
    <w:p w:rsidR="006C043F" w:rsidRPr="006C043F" w:rsidRDefault="006C043F" w:rsidP="00986B0C">
      <w:pPr>
        <w:pStyle w:val="post-desc"/>
        <w:spacing w:before="420" w:beforeAutospacing="0" w:after="0" w:afterAutospacing="0" w:line="240" w:lineRule="atLeast"/>
        <w:rPr>
          <w:rFonts w:cstheme="minorHAnsi"/>
          <w:b/>
          <w:bCs/>
          <w:caps/>
          <w:color w:val="000000"/>
          <w:kern w:val="36"/>
        </w:rPr>
      </w:pPr>
      <w:r w:rsidRPr="00AA4F65">
        <w:rPr>
          <w:rFonts w:asciiTheme="minorHAnsi" w:hAnsiTheme="minorHAnsi" w:cstheme="minorHAnsi"/>
          <w:color w:val="3B3B3B"/>
        </w:rPr>
        <w:lastRenderedPageBreak/>
        <w:br/>
      </w:r>
      <w:r w:rsidRPr="00AA4F65">
        <w:rPr>
          <w:rFonts w:asciiTheme="minorHAnsi" w:hAnsiTheme="minorHAnsi" w:cstheme="minorHAnsi"/>
          <w:color w:val="3B3B3B"/>
        </w:rPr>
        <w:br/>
      </w:r>
      <w:r w:rsidRPr="006C043F">
        <w:rPr>
          <w:rFonts w:cstheme="minorHAnsi"/>
          <w:b/>
          <w:bCs/>
          <w:caps/>
          <w:color w:val="000000"/>
          <w:kern w:val="36"/>
        </w:rPr>
        <w:t>10 – RIDURRE LE DISUGUAGLIANZE</w:t>
      </w:r>
    </w:p>
    <w:p w:rsidR="006C043F" w:rsidRPr="00AA4F65" w:rsidRDefault="006C043F" w:rsidP="006C043F">
      <w:pPr>
        <w:pStyle w:val="post-desc"/>
        <w:spacing w:before="420" w:beforeAutospacing="0" w:after="0" w:afterAutospacing="0" w:line="240" w:lineRule="atLeast"/>
        <w:rPr>
          <w:rFonts w:asciiTheme="minorHAnsi" w:hAnsiTheme="minorHAnsi" w:cstheme="minorHAnsi"/>
          <w:color w:val="3B3B3B"/>
        </w:rPr>
      </w:pPr>
      <w:r w:rsidRPr="00AA4F65">
        <w:rPr>
          <w:rStyle w:val="Enfasigrassetto"/>
          <w:rFonts w:asciiTheme="minorHAnsi" w:hAnsiTheme="minorHAnsi" w:cstheme="minorHAnsi"/>
          <w:color w:val="3B3B3B"/>
        </w:rPr>
        <w:t>INDICATORI</w:t>
      </w:r>
      <w:r w:rsidRPr="00AA4F65">
        <w:rPr>
          <w:rFonts w:asciiTheme="minorHAnsi" w:hAnsiTheme="minorHAnsi" w:cstheme="minorHAnsi"/>
          <w:color w:val="3B3B3B"/>
        </w:rPr>
        <w:br/>
      </w:r>
      <w:r w:rsidRPr="00AA4F65">
        <w:rPr>
          <w:rFonts w:asciiTheme="minorHAnsi" w:hAnsiTheme="minorHAnsi" w:cstheme="minorHAnsi"/>
          <w:color w:val="3B3B3B"/>
        </w:rPr>
        <w:br/>
        <w:t>10.1.1 I tassi di crescita della spesa o del reddito pro capite dei nuclei familiari tra il 40% più povero della popolazione e il totale della popolazione</w:t>
      </w:r>
      <w:r w:rsidRPr="00AA4F65">
        <w:rPr>
          <w:rFonts w:asciiTheme="minorHAnsi" w:hAnsiTheme="minorHAnsi" w:cstheme="minorHAnsi"/>
          <w:color w:val="3B3B3B"/>
        </w:rPr>
        <w:br/>
      </w:r>
      <w:r w:rsidRPr="00AA4F65">
        <w:rPr>
          <w:rFonts w:asciiTheme="minorHAnsi" w:hAnsiTheme="minorHAnsi" w:cstheme="minorHAnsi"/>
          <w:color w:val="3B3B3B"/>
        </w:rPr>
        <w:br/>
        <w:t>10.2.1 Percentuale di persone che vivono al di sotto del 50% del reddito mediano, per età, sesso e persone con disabilità</w:t>
      </w:r>
      <w:r w:rsidRPr="00AA4F65">
        <w:rPr>
          <w:rFonts w:asciiTheme="minorHAnsi" w:hAnsiTheme="minorHAnsi" w:cstheme="minorHAnsi"/>
          <w:color w:val="3B3B3B"/>
        </w:rPr>
        <w:br/>
      </w:r>
      <w:r w:rsidRPr="00AA4F65">
        <w:rPr>
          <w:rFonts w:asciiTheme="minorHAnsi" w:hAnsiTheme="minorHAnsi" w:cstheme="minorHAnsi"/>
          <w:color w:val="3B3B3B"/>
        </w:rPr>
        <w:br/>
        <w:t>10.3.1 Percentuale di cittadini che hanno dichiarato di essersi sentiti personalmente vittime di discriminazioni o molestie nei 12 mesi precedenti, sulla base di un motivo di discriminazione vietato dalle leggi internazionali sui diritti umani</w:t>
      </w:r>
      <w:r w:rsidRPr="00AA4F65">
        <w:rPr>
          <w:rFonts w:asciiTheme="minorHAnsi" w:hAnsiTheme="minorHAnsi" w:cstheme="minorHAnsi"/>
          <w:color w:val="3B3B3B"/>
        </w:rPr>
        <w:br/>
      </w:r>
      <w:r w:rsidRPr="00AA4F65">
        <w:rPr>
          <w:rFonts w:asciiTheme="minorHAnsi" w:hAnsiTheme="minorHAnsi" w:cstheme="minorHAnsi"/>
          <w:color w:val="3B3B3B"/>
        </w:rPr>
        <w:br/>
        <w:t>10.4.1 Percentuale di PIL derivante dal lavoro, compresi i redditi e le erogazioni per la protezione sociale</w:t>
      </w:r>
      <w:r w:rsidRPr="00AA4F65">
        <w:rPr>
          <w:rFonts w:asciiTheme="minorHAnsi" w:hAnsiTheme="minorHAnsi" w:cstheme="minorHAnsi"/>
          <w:color w:val="3B3B3B"/>
        </w:rPr>
        <w:br/>
      </w:r>
      <w:r w:rsidRPr="00AA4F65">
        <w:rPr>
          <w:rFonts w:asciiTheme="minorHAnsi" w:hAnsiTheme="minorHAnsi" w:cstheme="minorHAnsi"/>
          <w:color w:val="3B3B3B"/>
        </w:rPr>
        <w:br/>
        <w:t>10.5.1 Indicatori di solidità finanziaria</w:t>
      </w:r>
      <w:r w:rsidRPr="00AA4F65">
        <w:rPr>
          <w:rFonts w:asciiTheme="minorHAnsi" w:hAnsiTheme="minorHAnsi" w:cstheme="minorHAnsi"/>
          <w:color w:val="3B3B3B"/>
        </w:rPr>
        <w:br/>
      </w:r>
      <w:r w:rsidRPr="00AA4F65">
        <w:rPr>
          <w:rFonts w:asciiTheme="minorHAnsi" w:hAnsiTheme="minorHAnsi" w:cstheme="minorHAnsi"/>
          <w:color w:val="3B3B3B"/>
        </w:rPr>
        <w:br/>
        <w:t>10.6.1 Rapporto tra numero di membri e diritti di voto dei Paesi in via di sviluppo nelle organizzazioni internazionali</w:t>
      </w:r>
      <w:r w:rsidRPr="00AA4F65">
        <w:rPr>
          <w:rFonts w:asciiTheme="minorHAnsi" w:hAnsiTheme="minorHAnsi" w:cstheme="minorHAnsi"/>
          <w:color w:val="3B3B3B"/>
        </w:rPr>
        <w:br/>
      </w:r>
      <w:r w:rsidRPr="00AA4F65">
        <w:rPr>
          <w:rFonts w:asciiTheme="minorHAnsi" w:hAnsiTheme="minorHAnsi" w:cstheme="minorHAnsi"/>
          <w:color w:val="3B3B3B"/>
        </w:rPr>
        <w:br/>
        <w:t>10.7.1 Costi di assunzione a carico del lavoratore in proporzione al reddito annuale guadagnato nel Paese di destinazione</w:t>
      </w:r>
      <w:r w:rsidRPr="00AA4F65">
        <w:rPr>
          <w:rFonts w:asciiTheme="minorHAnsi" w:hAnsiTheme="minorHAnsi" w:cstheme="minorHAnsi"/>
          <w:color w:val="3B3B3B"/>
        </w:rPr>
        <w:br/>
      </w:r>
      <w:r w:rsidRPr="00AA4F65">
        <w:rPr>
          <w:rFonts w:asciiTheme="minorHAnsi" w:hAnsiTheme="minorHAnsi" w:cstheme="minorHAnsi"/>
          <w:color w:val="3B3B3B"/>
        </w:rPr>
        <w:br/>
        <w:t>10.7.2 Numero di paesi che hanno adottato politiche di migrazione ben gestite</w:t>
      </w:r>
      <w:r w:rsidRPr="00AA4F65">
        <w:rPr>
          <w:rFonts w:asciiTheme="minorHAnsi" w:hAnsiTheme="minorHAnsi" w:cstheme="minorHAnsi"/>
          <w:color w:val="3B3B3B"/>
        </w:rPr>
        <w:br/>
      </w:r>
      <w:r w:rsidRPr="00AA4F65">
        <w:rPr>
          <w:rFonts w:asciiTheme="minorHAnsi" w:hAnsiTheme="minorHAnsi" w:cstheme="minorHAnsi"/>
          <w:color w:val="3B3B3B"/>
        </w:rPr>
        <w:br/>
        <w:t>10.A.1 Percentuale di linee tariffarie applicate alle importazioni provenienti da Paesi meno sviluppati e in via di sviluppo con tariffa pari a 0</w:t>
      </w:r>
      <w:r w:rsidRPr="00AA4F65">
        <w:rPr>
          <w:rFonts w:asciiTheme="minorHAnsi" w:hAnsiTheme="minorHAnsi" w:cstheme="minorHAnsi"/>
          <w:color w:val="3B3B3B"/>
        </w:rPr>
        <w:br/>
      </w:r>
      <w:r w:rsidRPr="00AA4F65">
        <w:rPr>
          <w:rFonts w:asciiTheme="minorHAnsi" w:hAnsiTheme="minorHAnsi" w:cstheme="minorHAnsi"/>
          <w:color w:val="3B3B3B"/>
        </w:rPr>
        <w:br/>
        <w:t>10.B.1 Fondi totali per lo sviluppo, per Paese beneficiario e donatore e per tipo di fondo (ad esempio aiuto pubblico allo sviluppo, investimento diretto estero e altri)</w:t>
      </w:r>
      <w:r w:rsidRPr="00AA4F65">
        <w:rPr>
          <w:rFonts w:asciiTheme="minorHAnsi" w:hAnsiTheme="minorHAnsi" w:cstheme="minorHAnsi"/>
          <w:color w:val="3B3B3B"/>
        </w:rPr>
        <w:br/>
      </w:r>
      <w:r w:rsidRPr="00AA4F65">
        <w:rPr>
          <w:rFonts w:asciiTheme="minorHAnsi" w:hAnsiTheme="minorHAnsi" w:cstheme="minorHAnsi"/>
          <w:color w:val="3B3B3B"/>
        </w:rPr>
        <w:br/>
        <w:t>10.C.1 Costi delle rimesse in rapporto all’ammontare trasferito</w:t>
      </w:r>
    </w:p>
    <w:p w:rsidR="00986B0C" w:rsidRDefault="00986B0C">
      <w:pPr>
        <w:rPr>
          <w:rFonts w:cstheme="minorHAnsi"/>
          <w:color w:val="3B3B3B"/>
          <w:sz w:val="24"/>
          <w:szCs w:val="24"/>
        </w:rPr>
      </w:pPr>
      <w:r>
        <w:rPr>
          <w:rFonts w:cstheme="minorHAnsi"/>
          <w:color w:val="3B3B3B"/>
          <w:sz w:val="24"/>
          <w:szCs w:val="24"/>
        </w:rPr>
        <w:br w:type="page"/>
      </w:r>
    </w:p>
    <w:p w:rsidR="006C043F" w:rsidRPr="006C043F" w:rsidRDefault="006C043F" w:rsidP="00986B0C">
      <w:pPr>
        <w:rPr>
          <w:rFonts w:eastAsia="Times New Roman" w:cstheme="minorHAnsi"/>
          <w:b/>
          <w:bCs/>
          <w:caps/>
          <w:color w:val="000000"/>
          <w:kern w:val="36"/>
          <w:sz w:val="24"/>
          <w:szCs w:val="24"/>
          <w:lang w:eastAsia="it-IT"/>
        </w:rPr>
      </w:pPr>
      <w:r w:rsidRPr="00AA4F65">
        <w:rPr>
          <w:rFonts w:cstheme="minorHAnsi"/>
          <w:color w:val="3B3B3B"/>
          <w:sz w:val="24"/>
          <w:szCs w:val="24"/>
        </w:rPr>
        <w:lastRenderedPageBreak/>
        <w:br/>
      </w:r>
      <w:r w:rsidRPr="00AA4F65">
        <w:rPr>
          <w:rFonts w:cstheme="minorHAnsi"/>
          <w:color w:val="3B3B3B"/>
          <w:sz w:val="24"/>
          <w:szCs w:val="24"/>
        </w:rPr>
        <w:br/>
      </w:r>
      <w:r w:rsidRPr="006C043F">
        <w:rPr>
          <w:rFonts w:eastAsia="Times New Roman" w:cstheme="minorHAnsi"/>
          <w:b/>
          <w:bCs/>
          <w:caps/>
          <w:color w:val="000000"/>
          <w:kern w:val="36"/>
          <w:sz w:val="24"/>
          <w:szCs w:val="24"/>
          <w:lang w:eastAsia="it-IT"/>
        </w:rPr>
        <w:t>13 – AGIRE PER IL CLIMA</w:t>
      </w:r>
    </w:p>
    <w:p w:rsidR="006C043F" w:rsidRPr="00AA4F65" w:rsidRDefault="006C043F">
      <w:pPr>
        <w:rPr>
          <w:rFonts w:cstheme="minorHAnsi"/>
          <w:color w:val="3B3B3B"/>
          <w:sz w:val="24"/>
          <w:szCs w:val="24"/>
          <w:shd w:val="clear" w:color="auto" w:fill="F9F9F9"/>
        </w:rPr>
      </w:pPr>
      <w:r w:rsidRPr="00AA4F65">
        <w:rPr>
          <w:rStyle w:val="Enfasigrassetto"/>
          <w:rFonts w:cstheme="minorHAnsi"/>
          <w:color w:val="3B3B3B"/>
          <w:sz w:val="24"/>
          <w:szCs w:val="24"/>
          <w:shd w:val="clear" w:color="auto" w:fill="F9F9F9"/>
        </w:rPr>
        <w:t>INDICATORI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13.1.1 Numero di Paesi con strategie nazionali e locali per la riduzione del rischio di catastrofi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13.1.2 Numero di morti, persone scomparse e colpite da catastrofi ogni 100.000 abitanti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13.2.1 Numero di Paesi che hanno comunicato la sottoscrizione o attuazione di una politica//strategia/piano integrati volti a potenziare la loro capacità di adattamento all’impatto negativo dei cambiamenti climatici, per consolidare la resilienza climatica e contenere le emissioni di gas serra in modo tale da non minacciare la produzione alimentare (comprendendo un piano di adattamento nazionale, contributi fissati su base nazionale, comunicazioni nazionali, rapporto di aggiornamento biennale e altro)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13.3.1 Numero di Paesi che hanno integrato nei programmi primari, secondari e terziari azioni di mitigazione, adattamento, riduzione dell’impatto e segnalazione tempestiva</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 xml:space="preserve">13.3.2 Numero di Paesi che hanno comunicato il consolidamento della </w:t>
      </w:r>
      <w:proofErr w:type="spellStart"/>
      <w:r w:rsidRPr="00AA4F65">
        <w:rPr>
          <w:rFonts w:cstheme="minorHAnsi"/>
          <w:color w:val="3B3B3B"/>
          <w:sz w:val="24"/>
          <w:szCs w:val="24"/>
          <w:shd w:val="clear" w:color="auto" w:fill="F9F9F9"/>
        </w:rPr>
        <w:t>capacity</w:t>
      </w:r>
      <w:proofErr w:type="spellEnd"/>
      <w:r w:rsidRPr="00AA4F65">
        <w:rPr>
          <w:rFonts w:cstheme="minorHAnsi"/>
          <w:color w:val="3B3B3B"/>
          <w:sz w:val="24"/>
          <w:szCs w:val="24"/>
          <w:shd w:val="clear" w:color="auto" w:fill="F9F9F9"/>
        </w:rPr>
        <w:t>-building istituzionale, sistemica e individuale per attuare piani di adattamento, mitigazione e trasferimento tecnologico, insieme ad azioni di sviluppo</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13.A.1 Fondi in dollari erogati ogni anno a partire dal 2020 relativi all’impegno dei 100 miliardi di dollari</w:t>
      </w:r>
      <w:r w:rsidRPr="00AA4F65">
        <w:rPr>
          <w:rFonts w:cstheme="minorHAnsi"/>
          <w:color w:val="3B3B3B"/>
          <w:sz w:val="24"/>
          <w:szCs w:val="24"/>
        </w:rPr>
        <w:br/>
      </w:r>
      <w:r w:rsidRPr="00AA4F65">
        <w:rPr>
          <w:rFonts w:cstheme="minorHAnsi"/>
          <w:color w:val="3B3B3B"/>
          <w:sz w:val="24"/>
          <w:szCs w:val="24"/>
        </w:rPr>
        <w:br/>
      </w:r>
      <w:r w:rsidRPr="00AA4F65">
        <w:rPr>
          <w:rFonts w:cstheme="minorHAnsi"/>
          <w:color w:val="3B3B3B"/>
          <w:sz w:val="24"/>
          <w:szCs w:val="24"/>
          <w:shd w:val="clear" w:color="auto" w:fill="F9F9F9"/>
        </w:rPr>
        <w:t xml:space="preserve">13.B.1 Numero di Paesi meno sviluppati e piccoli Stati insulari in via di sviluppo che hanno ricevuto sostegno specializzato e ammontare del sostegno, compreso quello finanziario, tecnologico e di </w:t>
      </w:r>
      <w:proofErr w:type="spellStart"/>
      <w:r w:rsidRPr="00AA4F65">
        <w:rPr>
          <w:rFonts w:cstheme="minorHAnsi"/>
          <w:color w:val="3B3B3B"/>
          <w:sz w:val="24"/>
          <w:szCs w:val="24"/>
          <w:shd w:val="clear" w:color="auto" w:fill="F9F9F9"/>
        </w:rPr>
        <w:t>capacity</w:t>
      </w:r>
      <w:proofErr w:type="spellEnd"/>
      <w:r w:rsidRPr="00AA4F65">
        <w:rPr>
          <w:rFonts w:cstheme="minorHAnsi"/>
          <w:color w:val="3B3B3B"/>
          <w:sz w:val="24"/>
          <w:szCs w:val="24"/>
          <w:shd w:val="clear" w:color="auto" w:fill="F9F9F9"/>
        </w:rPr>
        <w:t xml:space="preserve"> building per meccanismi volti ad aumentare le capacità di pianificazione e gestione efficaci in risposta ai cambiamenti climatici, con un’attenzione particolare riservata a donne, giovani e comunità locali ed emarginate</w:t>
      </w:r>
    </w:p>
    <w:p w:rsidR="00986B0C" w:rsidRDefault="00986B0C">
      <w:pPr>
        <w:rPr>
          <w:rFonts w:cstheme="minorHAnsi"/>
          <w:color w:val="3B3B3B"/>
          <w:sz w:val="24"/>
          <w:szCs w:val="24"/>
          <w:shd w:val="clear" w:color="auto" w:fill="F9F9F9"/>
        </w:rPr>
      </w:pPr>
      <w:r>
        <w:rPr>
          <w:rFonts w:cstheme="minorHAnsi"/>
          <w:color w:val="3B3B3B"/>
          <w:sz w:val="24"/>
          <w:szCs w:val="24"/>
          <w:shd w:val="clear" w:color="auto" w:fill="F9F9F9"/>
        </w:rPr>
        <w:br w:type="page"/>
      </w:r>
    </w:p>
    <w:p w:rsidR="006C043F" w:rsidRPr="00AA4F65" w:rsidRDefault="006C043F">
      <w:pPr>
        <w:rPr>
          <w:rFonts w:cstheme="minorHAnsi"/>
          <w:color w:val="3B3B3B"/>
          <w:sz w:val="24"/>
          <w:szCs w:val="24"/>
          <w:shd w:val="clear" w:color="auto" w:fill="F9F9F9"/>
        </w:rPr>
      </w:pPr>
    </w:p>
    <w:p w:rsidR="006C043F" w:rsidRPr="006C043F" w:rsidRDefault="006C043F" w:rsidP="00986B0C">
      <w:pPr>
        <w:pStyle w:val="post-desc"/>
        <w:spacing w:before="420" w:beforeAutospacing="0" w:after="0" w:afterAutospacing="0" w:line="240" w:lineRule="atLeast"/>
        <w:rPr>
          <w:rFonts w:cstheme="minorHAnsi"/>
          <w:b/>
          <w:bCs/>
          <w:caps/>
          <w:color w:val="000000"/>
          <w:kern w:val="36"/>
        </w:rPr>
      </w:pPr>
      <w:r w:rsidRPr="00AA4F65">
        <w:rPr>
          <w:rFonts w:asciiTheme="minorHAnsi" w:hAnsiTheme="minorHAnsi" w:cstheme="minorHAnsi"/>
          <w:color w:val="3B3B3B"/>
        </w:rPr>
        <w:br/>
      </w:r>
      <w:r w:rsidRPr="006C043F">
        <w:rPr>
          <w:rFonts w:cstheme="minorHAnsi"/>
          <w:b/>
          <w:bCs/>
          <w:caps/>
          <w:color w:val="000000"/>
          <w:kern w:val="36"/>
        </w:rPr>
        <w:t>16 – PACE GIUSTIZIA E ISTITUZIONI FORTI</w:t>
      </w:r>
    </w:p>
    <w:p w:rsidR="006C043F" w:rsidRDefault="006C043F" w:rsidP="006C043F">
      <w:pPr>
        <w:pStyle w:val="post-desc"/>
        <w:spacing w:before="420" w:beforeAutospacing="0" w:after="0" w:afterAutospacing="0" w:line="240" w:lineRule="atLeast"/>
        <w:rPr>
          <w:rFonts w:asciiTheme="minorHAnsi" w:hAnsiTheme="minorHAnsi" w:cstheme="minorHAnsi"/>
          <w:color w:val="3B3B3B"/>
        </w:rPr>
      </w:pPr>
      <w:r w:rsidRPr="00AA4F65">
        <w:rPr>
          <w:rStyle w:val="Enfasigrassetto"/>
          <w:rFonts w:asciiTheme="minorHAnsi" w:hAnsiTheme="minorHAnsi" w:cstheme="minorHAnsi"/>
          <w:color w:val="3B3B3B"/>
        </w:rPr>
        <w:t>INDICATORI</w:t>
      </w:r>
      <w:r w:rsidRPr="00AA4F65">
        <w:rPr>
          <w:rFonts w:asciiTheme="minorHAnsi" w:hAnsiTheme="minorHAnsi" w:cstheme="minorHAnsi"/>
          <w:color w:val="3B3B3B"/>
        </w:rPr>
        <w:br/>
      </w:r>
      <w:r w:rsidRPr="00AA4F65">
        <w:rPr>
          <w:rFonts w:asciiTheme="minorHAnsi" w:hAnsiTheme="minorHAnsi" w:cstheme="minorHAnsi"/>
          <w:color w:val="3B3B3B"/>
        </w:rPr>
        <w:br/>
        <w:t>16.1.1 Numero di vittime di omicidio intenzionale ogni 100.000 abitanti, per sesso ed età</w:t>
      </w:r>
      <w:r w:rsidRPr="00AA4F65">
        <w:rPr>
          <w:rFonts w:asciiTheme="minorHAnsi" w:hAnsiTheme="minorHAnsi" w:cstheme="minorHAnsi"/>
          <w:color w:val="3B3B3B"/>
        </w:rPr>
        <w:br/>
      </w:r>
      <w:r w:rsidRPr="00AA4F65">
        <w:rPr>
          <w:rFonts w:asciiTheme="minorHAnsi" w:hAnsiTheme="minorHAnsi" w:cstheme="minorHAnsi"/>
          <w:color w:val="3B3B3B"/>
        </w:rPr>
        <w:br/>
        <w:t>16.1.2 Decessi causati da conflitti ogni 100.000 abitanti, per sesso, età e causa</w:t>
      </w:r>
      <w:r w:rsidRPr="00AA4F65">
        <w:rPr>
          <w:rFonts w:asciiTheme="minorHAnsi" w:hAnsiTheme="minorHAnsi" w:cstheme="minorHAnsi"/>
          <w:color w:val="3B3B3B"/>
        </w:rPr>
        <w:br/>
      </w:r>
      <w:r w:rsidRPr="00AA4F65">
        <w:rPr>
          <w:rFonts w:asciiTheme="minorHAnsi" w:hAnsiTheme="minorHAnsi" w:cstheme="minorHAnsi"/>
          <w:color w:val="3B3B3B"/>
        </w:rPr>
        <w:br/>
        <w:t>16.1.3 Percentuale della popolazione vittima di violenza fisica, psicologica e sessuale nei 12 mesi precedenti</w:t>
      </w:r>
      <w:r w:rsidRPr="00AA4F65">
        <w:rPr>
          <w:rFonts w:asciiTheme="minorHAnsi" w:hAnsiTheme="minorHAnsi" w:cstheme="minorHAnsi"/>
          <w:color w:val="3B3B3B"/>
        </w:rPr>
        <w:br/>
      </w:r>
      <w:r w:rsidRPr="00AA4F65">
        <w:rPr>
          <w:rFonts w:asciiTheme="minorHAnsi" w:hAnsiTheme="minorHAnsi" w:cstheme="minorHAnsi"/>
          <w:color w:val="3B3B3B"/>
        </w:rPr>
        <w:br/>
        <w:t>16.1.4 Percentuale di persone che si sentono sicure a camminare da sole nella zona in cui vivono</w:t>
      </w:r>
      <w:r w:rsidRPr="00AA4F65">
        <w:rPr>
          <w:rFonts w:asciiTheme="minorHAnsi" w:hAnsiTheme="minorHAnsi" w:cstheme="minorHAnsi"/>
          <w:color w:val="3B3B3B"/>
        </w:rPr>
        <w:br/>
      </w:r>
      <w:r w:rsidRPr="00AA4F65">
        <w:rPr>
          <w:rFonts w:asciiTheme="minorHAnsi" w:hAnsiTheme="minorHAnsi" w:cstheme="minorHAnsi"/>
          <w:color w:val="3B3B3B"/>
        </w:rPr>
        <w:br/>
        <w:t>16.2.1 Percentuale di bambini di età 1-17 anni che hanno subito punizioni corporali e/o aggressioni psicologiche da responsabili della loro educazione nell’ultimo mese</w:t>
      </w:r>
      <w:r w:rsidRPr="00AA4F65">
        <w:rPr>
          <w:rFonts w:asciiTheme="minorHAnsi" w:hAnsiTheme="minorHAnsi" w:cstheme="minorHAnsi"/>
          <w:color w:val="3B3B3B"/>
        </w:rPr>
        <w:br/>
      </w:r>
      <w:r w:rsidRPr="00AA4F65">
        <w:rPr>
          <w:rFonts w:asciiTheme="minorHAnsi" w:hAnsiTheme="minorHAnsi" w:cstheme="minorHAnsi"/>
          <w:color w:val="3B3B3B"/>
        </w:rPr>
        <w:br/>
        <w:t>16.2.2 Numero di vittime del traffico di esseri umani ogni 100.000 abitanti, per sesso, età e forma di sfruttamento</w:t>
      </w:r>
      <w:r w:rsidRPr="00AA4F65">
        <w:rPr>
          <w:rFonts w:asciiTheme="minorHAnsi" w:hAnsiTheme="minorHAnsi" w:cstheme="minorHAnsi"/>
          <w:color w:val="3B3B3B"/>
        </w:rPr>
        <w:br/>
      </w:r>
      <w:r w:rsidRPr="00AA4F65">
        <w:rPr>
          <w:rFonts w:asciiTheme="minorHAnsi" w:hAnsiTheme="minorHAnsi" w:cstheme="minorHAnsi"/>
          <w:color w:val="3B3B3B"/>
        </w:rPr>
        <w:br/>
        <w:t>16.2.3 Percentuale di giovani donne e uomini di età 18-29 anni che hanno subito violenza sessuale prima dei 18 anni</w:t>
      </w:r>
      <w:r w:rsidRPr="00AA4F65">
        <w:rPr>
          <w:rFonts w:asciiTheme="minorHAnsi" w:hAnsiTheme="minorHAnsi" w:cstheme="minorHAnsi"/>
          <w:color w:val="3B3B3B"/>
        </w:rPr>
        <w:br/>
      </w:r>
      <w:r w:rsidRPr="00AA4F65">
        <w:rPr>
          <w:rFonts w:asciiTheme="minorHAnsi" w:hAnsiTheme="minorHAnsi" w:cstheme="minorHAnsi"/>
          <w:color w:val="3B3B3B"/>
        </w:rPr>
        <w:br/>
        <w:t>16.3.1 Percentuale di vittime di violenza nei 12 mesi precedenti che hanno denunciato l’aggressione alle autorità competenti o ad altri enti ufficialmente riconosciuti nei meccanismi di risoluzione dei conflitti</w:t>
      </w:r>
      <w:r w:rsidRPr="00AA4F65">
        <w:rPr>
          <w:rFonts w:asciiTheme="minorHAnsi" w:hAnsiTheme="minorHAnsi" w:cstheme="minorHAnsi"/>
          <w:color w:val="3B3B3B"/>
        </w:rPr>
        <w:br/>
      </w:r>
      <w:r w:rsidRPr="00AA4F65">
        <w:rPr>
          <w:rFonts w:asciiTheme="minorHAnsi" w:hAnsiTheme="minorHAnsi" w:cstheme="minorHAnsi"/>
          <w:color w:val="3B3B3B"/>
        </w:rPr>
        <w:br/>
        <w:t>16.3.2 Detenuti senza condanna in rapporto alla popolazione carceraria totale</w:t>
      </w:r>
      <w:r w:rsidRPr="00AA4F65">
        <w:rPr>
          <w:rFonts w:asciiTheme="minorHAnsi" w:hAnsiTheme="minorHAnsi" w:cstheme="minorHAnsi"/>
          <w:color w:val="3B3B3B"/>
        </w:rPr>
        <w:br/>
      </w:r>
      <w:r w:rsidRPr="00AA4F65">
        <w:rPr>
          <w:rFonts w:asciiTheme="minorHAnsi" w:hAnsiTheme="minorHAnsi" w:cstheme="minorHAnsi"/>
          <w:color w:val="3B3B3B"/>
        </w:rPr>
        <w:br/>
        <w:t>16.4.1 Valore totale dei flussi finanziari illeciti in entrata e in uscita (in dollari)</w:t>
      </w:r>
      <w:r w:rsidRPr="00AA4F65">
        <w:rPr>
          <w:rFonts w:asciiTheme="minorHAnsi" w:hAnsiTheme="minorHAnsi" w:cstheme="minorHAnsi"/>
          <w:color w:val="3B3B3B"/>
        </w:rPr>
        <w:br/>
      </w:r>
      <w:r w:rsidRPr="00AA4F65">
        <w:rPr>
          <w:rFonts w:asciiTheme="minorHAnsi" w:hAnsiTheme="minorHAnsi" w:cstheme="minorHAnsi"/>
          <w:color w:val="3B3B3B"/>
        </w:rPr>
        <w:br/>
        <w:t>16.4.2 Percentuale di armi leggere di piccole dimensioni sequestrate che sono registrate e tracciate, in base agli standard internazionali e agli strumenti legislativi</w:t>
      </w:r>
      <w:r w:rsidRPr="00AA4F65">
        <w:rPr>
          <w:rFonts w:asciiTheme="minorHAnsi" w:hAnsiTheme="minorHAnsi" w:cstheme="minorHAnsi"/>
          <w:color w:val="3B3B3B"/>
        </w:rPr>
        <w:br/>
      </w:r>
      <w:r w:rsidRPr="00AA4F65">
        <w:rPr>
          <w:rFonts w:asciiTheme="minorHAnsi" w:hAnsiTheme="minorHAnsi" w:cstheme="minorHAnsi"/>
          <w:color w:val="3B3B3B"/>
        </w:rPr>
        <w:br/>
        <w:t>16.5.1 Percentuale di persone che hanno avuto almeno un contatto con un funzionario pubblico e che hanno pagato una tangente a un funzionario pubblico o che hanno ricevuto la richiesta di pagamento di una tangente da un funzionario pubblico nei 12 mesi precedenti</w:t>
      </w:r>
      <w:r w:rsidRPr="00AA4F65">
        <w:rPr>
          <w:rFonts w:asciiTheme="minorHAnsi" w:hAnsiTheme="minorHAnsi" w:cstheme="minorHAnsi"/>
          <w:color w:val="3B3B3B"/>
        </w:rPr>
        <w:br/>
      </w:r>
      <w:r w:rsidRPr="00AA4F65">
        <w:rPr>
          <w:rFonts w:asciiTheme="minorHAnsi" w:hAnsiTheme="minorHAnsi" w:cstheme="minorHAnsi"/>
          <w:color w:val="3B3B3B"/>
        </w:rPr>
        <w:br/>
        <w:t>16.5.2 Percentuale di aziende che hanno avuto almeno un contatto con un funzionario pubblico e che hanno pagato una tangente a un funzionario pubblico o che hanno ricevuto la richiesta di pagamento di una tangente da un funzionario pubblico nei 12 mesi precedenti</w:t>
      </w:r>
      <w:r w:rsidRPr="00AA4F65">
        <w:rPr>
          <w:rFonts w:asciiTheme="minorHAnsi" w:hAnsiTheme="minorHAnsi" w:cstheme="minorHAnsi"/>
          <w:color w:val="3B3B3B"/>
        </w:rPr>
        <w:br/>
      </w:r>
      <w:r w:rsidRPr="00AA4F65">
        <w:rPr>
          <w:rFonts w:asciiTheme="minorHAnsi" w:hAnsiTheme="minorHAnsi" w:cstheme="minorHAnsi"/>
          <w:color w:val="3B3B3B"/>
        </w:rPr>
        <w:br/>
        <w:t>16.6.1 Spese primarie del governo in rapporto al bilancio previsionale approvato originariamente, per settore (o per voce di bilancio o simili)</w:t>
      </w:r>
      <w:r w:rsidRPr="00AA4F65">
        <w:rPr>
          <w:rFonts w:asciiTheme="minorHAnsi" w:hAnsiTheme="minorHAnsi" w:cstheme="minorHAnsi"/>
          <w:color w:val="3B3B3B"/>
        </w:rPr>
        <w:br/>
      </w:r>
      <w:r w:rsidRPr="00AA4F65">
        <w:rPr>
          <w:rFonts w:asciiTheme="minorHAnsi" w:hAnsiTheme="minorHAnsi" w:cstheme="minorHAnsi"/>
          <w:color w:val="3B3B3B"/>
        </w:rPr>
        <w:br/>
      </w:r>
      <w:r w:rsidRPr="00AA4F65">
        <w:rPr>
          <w:rFonts w:asciiTheme="minorHAnsi" w:hAnsiTheme="minorHAnsi" w:cstheme="minorHAnsi"/>
          <w:color w:val="3B3B3B"/>
        </w:rPr>
        <w:lastRenderedPageBreak/>
        <w:t>16.6.2 Percentuale di cittadini soddisfatti della loro ultima esperienza con i servizi pubblici</w:t>
      </w:r>
      <w:r w:rsidRPr="00AA4F65">
        <w:rPr>
          <w:rFonts w:asciiTheme="minorHAnsi" w:hAnsiTheme="minorHAnsi" w:cstheme="minorHAnsi"/>
          <w:color w:val="3B3B3B"/>
        </w:rPr>
        <w:br/>
      </w:r>
      <w:r w:rsidRPr="00AA4F65">
        <w:rPr>
          <w:rFonts w:asciiTheme="minorHAnsi" w:hAnsiTheme="minorHAnsi" w:cstheme="minorHAnsi"/>
          <w:color w:val="3B3B3B"/>
        </w:rPr>
        <w:br/>
        <w:t>16.7.1 Percentuali di posizioni (per sesso, età, persone con disabilità e fascia di popolazione) negli enti pubblici (legislativi nazionali e locali, servizi pubblici e giudiziari) rispetto alle ripartizioni nazionali</w:t>
      </w:r>
      <w:r w:rsidRPr="00AA4F65">
        <w:rPr>
          <w:rFonts w:asciiTheme="minorHAnsi" w:hAnsiTheme="minorHAnsi" w:cstheme="minorHAnsi"/>
          <w:color w:val="3B3B3B"/>
        </w:rPr>
        <w:br/>
      </w:r>
      <w:r w:rsidRPr="00AA4F65">
        <w:rPr>
          <w:rFonts w:asciiTheme="minorHAnsi" w:hAnsiTheme="minorHAnsi" w:cstheme="minorHAnsi"/>
          <w:color w:val="3B3B3B"/>
        </w:rPr>
        <w:br/>
        <w:t>16.7.2 Percentuale di popolazione che crede che il processo decisionale sia inclusivo e puntuale, per età, sesso, disabilità e fascia di popolazione</w:t>
      </w:r>
      <w:r w:rsidRPr="00AA4F65">
        <w:rPr>
          <w:rFonts w:asciiTheme="minorHAnsi" w:hAnsiTheme="minorHAnsi" w:cstheme="minorHAnsi"/>
          <w:color w:val="3B3B3B"/>
        </w:rPr>
        <w:br/>
      </w:r>
      <w:r w:rsidRPr="00AA4F65">
        <w:rPr>
          <w:rFonts w:asciiTheme="minorHAnsi" w:hAnsiTheme="minorHAnsi" w:cstheme="minorHAnsi"/>
          <w:color w:val="3B3B3B"/>
        </w:rPr>
        <w:br/>
        <w:t>16.8.1 Percentuale di membri e diritti di voto dei Paesi in via di sviluppo presso le organizzazioni internazionali</w:t>
      </w:r>
      <w:r w:rsidRPr="00AA4F65">
        <w:rPr>
          <w:rFonts w:asciiTheme="minorHAnsi" w:hAnsiTheme="minorHAnsi" w:cstheme="minorHAnsi"/>
          <w:color w:val="3B3B3B"/>
        </w:rPr>
        <w:br/>
      </w:r>
      <w:r w:rsidRPr="00AA4F65">
        <w:rPr>
          <w:rFonts w:asciiTheme="minorHAnsi" w:hAnsiTheme="minorHAnsi" w:cstheme="minorHAnsi"/>
          <w:color w:val="3B3B3B"/>
        </w:rPr>
        <w:br/>
        <w:t>16.9.1 Percentuale di bambini sotto i 5 anni la cui nascita è stata registrata presso una autorità civile, per età</w:t>
      </w:r>
      <w:r w:rsidRPr="00AA4F65">
        <w:rPr>
          <w:rFonts w:asciiTheme="minorHAnsi" w:hAnsiTheme="minorHAnsi" w:cstheme="minorHAnsi"/>
          <w:color w:val="3B3B3B"/>
        </w:rPr>
        <w:br/>
      </w:r>
      <w:r w:rsidRPr="00AA4F65">
        <w:rPr>
          <w:rFonts w:asciiTheme="minorHAnsi" w:hAnsiTheme="minorHAnsi" w:cstheme="minorHAnsi"/>
          <w:color w:val="3B3B3B"/>
        </w:rPr>
        <w:br/>
        <w:t>16.10.1 Numero di casi accertati di omicidio, rapimento, sparizione forzata, detenzione arbitraria e tortura di giornalisti, personale dei mezzi di comunicazione, sindacalisti e difensori dei diritti umani nei 12 mesi precedenti</w:t>
      </w:r>
      <w:r w:rsidRPr="00AA4F65">
        <w:rPr>
          <w:rFonts w:asciiTheme="minorHAnsi" w:hAnsiTheme="minorHAnsi" w:cstheme="minorHAnsi"/>
          <w:color w:val="3B3B3B"/>
        </w:rPr>
        <w:br/>
      </w:r>
      <w:r w:rsidRPr="00AA4F65">
        <w:rPr>
          <w:rFonts w:asciiTheme="minorHAnsi" w:hAnsiTheme="minorHAnsi" w:cstheme="minorHAnsi"/>
          <w:color w:val="3B3B3B"/>
        </w:rPr>
        <w:br/>
        <w:t>16.10.2 Numero di Paesi che adottano e attuano garanzie costituzionali, statutarie e/o politiche per l’accesso pubblico alle informazioni</w:t>
      </w:r>
      <w:r w:rsidRPr="00AA4F65">
        <w:rPr>
          <w:rFonts w:asciiTheme="minorHAnsi" w:hAnsiTheme="minorHAnsi" w:cstheme="minorHAnsi"/>
          <w:color w:val="3B3B3B"/>
        </w:rPr>
        <w:br/>
      </w:r>
      <w:r w:rsidRPr="00AA4F65">
        <w:rPr>
          <w:rFonts w:asciiTheme="minorHAnsi" w:hAnsiTheme="minorHAnsi" w:cstheme="minorHAnsi"/>
          <w:color w:val="3B3B3B"/>
        </w:rPr>
        <w:br/>
        <w:t>16.A.1 Esistenza di istituzioni indipendenti nazionali responsabili dei diritti umani in conformità con i Principi di Parigi</w:t>
      </w:r>
      <w:r w:rsidRPr="00AA4F65">
        <w:rPr>
          <w:rFonts w:asciiTheme="minorHAnsi" w:hAnsiTheme="minorHAnsi" w:cstheme="minorHAnsi"/>
          <w:color w:val="3B3B3B"/>
        </w:rPr>
        <w:br/>
      </w:r>
      <w:r w:rsidRPr="00AA4F65">
        <w:rPr>
          <w:rFonts w:asciiTheme="minorHAnsi" w:hAnsiTheme="minorHAnsi" w:cstheme="minorHAnsi"/>
          <w:color w:val="3B3B3B"/>
        </w:rPr>
        <w:br/>
        <w:t>16.B.1 Percentuale di cittadini che hanno dichiarato di essersi sentiti personalmente vittime di discriminazioni o molestie nei 12 mesi precedenti sulla base di un motivo di discriminazione vietato dalle legislazioni internazionali sui diritti umani</w:t>
      </w:r>
    </w:p>
    <w:p w:rsidR="00986B0C" w:rsidRDefault="00986B0C">
      <w:pPr>
        <w:rPr>
          <w:rFonts w:eastAsia="Times New Roman" w:cstheme="minorHAnsi"/>
          <w:color w:val="3B3B3B"/>
          <w:sz w:val="24"/>
          <w:szCs w:val="24"/>
          <w:lang w:eastAsia="it-IT"/>
        </w:rPr>
      </w:pPr>
      <w:r>
        <w:rPr>
          <w:rFonts w:cstheme="minorHAnsi"/>
          <w:color w:val="3B3B3B"/>
        </w:rPr>
        <w:br w:type="page"/>
      </w:r>
    </w:p>
    <w:p w:rsidR="00986B0C" w:rsidRPr="00AA4F65" w:rsidRDefault="00986B0C" w:rsidP="006C043F">
      <w:pPr>
        <w:pStyle w:val="post-desc"/>
        <w:spacing w:before="420" w:beforeAutospacing="0" w:after="0" w:afterAutospacing="0" w:line="240" w:lineRule="atLeast"/>
        <w:rPr>
          <w:rFonts w:asciiTheme="minorHAnsi" w:hAnsiTheme="minorHAnsi" w:cstheme="minorHAnsi"/>
          <w:color w:val="3B3B3B"/>
        </w:rPr>
      </w:pPr>
      <w:bookmarkStart w:id="0" w:name="_GoBack"/>
      <w:bookmarkEnd w:id="0"/>
    </w:p>
    <w:p w:rsidR="006C043F" w:rsidRPr="006C043F" w:rsidRDefault="006C043F" w:rsidP="006C043F">
      <w:pPr>
        <w:spacing w:after="150" w:line="600" w:lineRule="atLeast"/>
        <w:outlineLvl w:val="0"/>
        <w:rPr>
          <w:rFonts w:eastAsia="Times New Roman" w:cstheme="minorHAnsi"/>
          <w:b/>
          <w:bCs/>
          <w:caps/>
          <w:color w:val="000000"/>
          <w:kern w:val="36"/>
          <w:sz w:val="24"/>
          <w:szCs w:val="24"/>
          <w:lang w:eastAsia="it-IT"/>
        </w:rPr>
      </w:pPr>
      <w:r w:rsidRPr="006C043F">
        <w:rPr>
          <w:rFonts w:eastAsia="Times New Roman" w:cstheme="minorHAnsi"/>
          <w:b/>
          <w:bCs/>
          <w:caps/>
          <w:color w:val="000000"/>
          <w:kern w:val="36"/>
          <w:sz w:val="24"/>
          <w:szCs w:val="24"/>
          <w:lang w:eastAsia="it-IT"/>
        </w:rPr>
        <w:t>17 – PARTNERSHIP PER GLI OBIETTIVI</w:t>
      </w:r>
    </w:p>
    <w:p w:rsidR="006C043F" w:rsidRPr="00AA4F65" w:rsidRDefault="006C043F" w:rsidP="006C043F">
      <w:pPr>
        <w:pStyle w:val="post-desc"/>
        <w:spacing w:before="420" w:beforeAutospacing="0" w:after="0" w:afterAutospacing="0" w:line="240" w:lineRule="atLeast"/>
        <w:rPr>
          <w:rFonts w:asciiTheme="minorHAnsi" w:hAnsiTheme="minorHAnsi" w:cstheme="minorHAnsi"/>
          <w:color w:val="3B3B3B"/>
        </w:rPr>
      </w:pPr>
      <w:r w:rsidRPr="00AA4F65">
        <w:rPr>
          <w:rStyle w:val="Enfasigrassetto"/>
          <w:rFonts w:asciiTheme="minorHAnsi" w:hAnsiTheme="minorHAnsi" w:cstheme="minorHAnsi"/>
          <w:color w:val="3B3B3B"/>
        </w:rPr>
        <w:t>INDICATORI</w:t>
      </w:r>
      <w:r w:rsidRPr="00AA4F65">
        <w:rPr>
          <w:rFonts w:asciiTheme="minorHAnsi" w:hAnsiTheme="minorHAnsi" w:cstheme="minorHAnsi"/>
          <w:color w:val="3B3B3B"/>
        </w:rPr>
        <w:br/>
      </w:r>
      <w:r w:rsidRPr="00AA4F65">
        <w:rPr>
          <w:rFonts w:asciiTheme="minorHAnsi" w:hAnsiTheme="minorHAnsi" w:cstheme="minorHAnsi"/>
          <w:color w:val="3B3B3B"/>
        </w:rPr>
        <w:br/>
        <w:t>17.2.1 Aiuto pubblico allo sviluppo netto totale e verso i Paesi meno sviluppati, in rapporto al reddito nazionale lordo (RNL) dei donatori del Comitato di aiuto allo sviluppo dell’Organizzazione per la cooperazione e lo sviluppo economico (OCSE)</w:t>
      </w:r>
      <w:r w:rsidRPr="00AA4F65">
        <w:rPr>
          <w:rFonts w:asciiTheme="minorHAnsi" w:hAnsiTheme="minorHAnsi" w:cstheme="minorHAnsi"/>
          <w:color w:val="3B3B3B"/>
        </w:rPr>
        <w:br/>
      </w:r>
      <w:r w:rsidRPr="00AA4F65">
        <w:rPr>
          <w:rFonts w:asciiTheme="minorHAnsi" w:hAnsiTheme="minorHAnsi" w:cstheme="minorHAnsi"/>
          <w:color w:val="3B3B3B"/>
        </w:rPr>
        <w:br/>
        <w:t>17.3.1 Investimenti diretti esteri, aiuto pubblico allo sviluppo e cooperazione sud-sud in rapporto al bilancio nazionale totale </w:t>
      </w:r>
      <w:r w:rsidRPr="00AA4F65">
        <w:rPr>
          <w:rFonts w:asciiTheme="minorHAnsi" w:hAnsiTheme="minorHAnsi" w:cstheme="minorHAnsi"/>
          <w:color w:val="3B3B3B"/>
        </w:rPr>
        <w:br/>
      </w:r>
      <w:r w:rsidRPr="00AA4F65">
        <w:rPr>
          <w:rFonts w:asciiTheme="minorHAnsi" w:hAnsiTheme="minorHAnsi" w:cstheme="minorHAnsi"/>
          <w:color w:val="3B3B3B"/>
        </w:rPr>
        <w:br/>
        <w:t>17.3.2 Volume delle rimesse in dollari americani in rapporto al PIL totale</w:t>
      </w:r>
      <w:r w:rsidRPr="00AA4F65">
        <w:rPr>
          <w:rFonts w:asciiTheme="minorHAnsi" w:hAnsiTheme="minorHAnsi" w:cstheme="minorHAnsi"/>
          <w:color w:val="3B3B3B"/>
        </w:rPr>
        <w:br/>
      </w:r>
      <w:r w:rsidRPr="00AA4F65">
        <w:rPr>
          <w:rFonts w:asciiTheme="minorHAnsi" w:hAnsiTheme="minorHAnsi" w:cstheme="minorHAnsi"/>
          <w:color w:val="3B3B3B"/>
        </w:rPr>
        <w:br/>
        <w:t>17.4.1 Servizio del debito in rapporto alle esportazioni di beni e servizi</w:t>
      </w:r>
      <w:r w:rsidRPr="00AA4F65">
        <w:rPr>
          <w:rFonts w:asciiTheme="minorHAnsi" w:hAnsiTheme="minorHAnsi" w:cstheme="minorHAnsi"/>
          <w:color w:val="3B3B3B"/>
        </w:rPr>
        <w:br/>
      </w:r>
      <w:r w:rsidRPr="00AA4F65">
        <w:rPr>
          <w:rFonts w:asciiTheme="minorHAnsi" w:hAnsiTheme="minorHAnsi" w:cstheme="minorHAnsi"/>
          <w:color w:val="3B3B3B"/>
        </w:rPr>
        <w:br/>
        <w:t>17.5.1 Numero di Paesi che adottano e attuano regimi di investimento e promozione per i Paesi meno sviluppati</w:t>
      </w:r>
      <w:r w:rsidRPr="00AA4F65">
        <w:rPr>
          <w:rFonts w:asciiTheme="minorHAnsi" w:hAnsiTheme="minorHAnsi" w:cstheme="minorHAnsi"/>
          <w:color w:val="3B3B3B"/>
        </w:rPr>
        <w:br/>
      </w:r>
      <w:r w:rsidRPr="00AA4F65">
        <w:rPr>
          <w:rFonts w:asciiTheme="minorHAnsi" w:hAnsiTheme="minorHAnsi" w:cstheme="minorHAnsi"/>
          <w:color w:val="3B3B3B"/>
        </w:rPr>
        <w:br/>
        <w:t>17.6.1 Numero di accordi e programmi di cooperazione scientifica e/o tecnologica tra Paesi, per tipo di cooperazione</w:t>
      </w:r>
      <w:r w:rsidRPr="00AA4F65">
        <w:rPr>
          <w:rFonts w:asciiTheme="minorHAnsi" w:hAnsiTheme="minorHAnsi" w:cstheme="minorHAnsi"/>
          <w:color w:val="3B3B3B"/>
        </w:rPr>
        <w:br/>
      </w:r>
      <w:r w:rsidRPr="00AA4F65">
        <w:rPr>
          <w:rFonts w:asciiTheme="minorHAnsi" w:hAnsiTheme="minorHAnsi" w:cstheme="minorHAnsi"/>
          <w:color w:val="3B3B3B"/>
        </w:rPr>
        <w:br/>
        <w:t>17.6.2 Abbonamenti alla banda larga Internet ogni 100 abitanti, per velocità</w:t>
      </w:r>
      <w:r w:rsidRPr="00AA4F65">
        <w:rPr>
          <w:rFonts w:asciiTheme="minorHAnsi" w:hAnsiTheme="minorHAnsi" w:cstheme="minorHAnsi"/>
          <w:color w:val="3B3B3B"/>
        </w:rPr>
        <w:br/>
      </w:r>
      <w:r w:rsidRPr="00AA4F65">
        <w:rPr>
          <w:rFonts w:asciiTheme="minorHAnsi" w:hAnsiTheme="minorHAnsi" w:cstheme="minorHAnsi"/>
          <w:color w:val="3B3B3B"/>
        </w:rPr>
        <w:br/>
        <w:t>17.7.1 Ammontare totale di fondi per i Paesi in via di sviluppo per la promozione dello sviluppo, il trasferimento, la disseminazione e la diffusione di tecnologie ecocompatibili</w:t>
      </w:r>
      <w:r w:rsidRPr="00AA4F65">
        <w:rPr>
          <w:rFonts w:asciiTheme="minorHAnsi" w:hAnsiTheme="minorHAnsi" w:cstheme="minorHAnsi"/>
          <w:color w:val="3B3B3B"/>
        </w:rPr>
        <w:br/>
      </w:r>
      <w:r w:rsidRPr="00AA4F65">
        <w:rPr>
          <w:rFonts w:asciiTheme="minorHAnsi" w:hAnsiTheme="minorHAnsi" w:cstheme="minorHAnsi"/>
          <w:color w:val="3B3B3B"/>
        </w:rPr>
        <w:br/>
        <w:t>17.8.1 Percentuale di persone che utilizzano Internet</w:t>
      </w:r>
      <w:r w:rsidRPr="00AA4F65">
        <w:rPr>
          <w:rFonts w:asciiTheme="minorHAnsi" w:hAnsiTheme="minorHAnsi" w:cstheme="minorHAnsi"/>
          <w:color w:val="3B3B3B"/>
        </w:rPr>
        <w:br/>
      </w:r>
      <w:r w:rsidRPr="00AA4F65">
        <w:rPr>
          <w:rFonts w:asciiTheme="minorHAnsi" w:hAnsiTheme="minorHAnsi" w:cstheme="minorHAnsi"/>
          <w:color w:val="3B3B3B"/>
        </w:rPr>
        <w:br/>
        <w:t>17. 9.1 Valore in dollari dell’assistenza finanziaria e tecnica (anche attraverso cooperazione nord-sud, sud-sud e triangolare) per i Paesi in via di sviluppo</w:t>
      </w:r>
      <w:r w:rsidRPr="00AA4F65">
        <w:rPr>
          <w:rFonts w:asciiTheme="minorHAnsi" w:hAnsiTheme="minorHAnsi" w:cstheme="minorHAnsi"/>
          <w:color w:val="3B3B3B"/>
        </w:rPr>
        <w:br/>
      </w:r>
      <w:r w:rsidRPr="00AA4F65">
        <w:rPr>
          <w:rFonts w:asciiTheme="minorHAnsi" w:hAnsiTheme="minorHAnsi" w:cstheme="minorHAnsi"/>
          <w:color w:val="3B3B3B"/>
        </w:rPr>
        <w:br/>
        <w:t>17.1.1 Entrate totali del governo in rapporto al PIL, per fonte</w:t>
      </w:r>
      <w:r w:rsidRPr="00AA4F65">
        <w:rPr>
          <w:rFonts w:asciiTheme="minorHAnsi" w:hAnsiTheme="minorHAnsi" w:cstheme="minorHAnsi"/>
          <w:color w:val="3B3B3B"/>
        </w:rPr>
        <w:br/>
      </w:r>
      <w:r w:rsidRPr="00AA4F65">
        <w:rPr>
          <w:rFonts w:asciiTheme="minorHAnsi" w:hAnsiTheme="minorHAnsi" w:cstheme="minorHAnsi"/>
          <w:color w:val="3B3B3B"/>
        </w:rPr>
        <w:br/>
        <w:t>17.1.2 Percentuale di bilancio nazionale sovvenzionato da tasse nazionali</w:t>
      </w:r>
      <w:r w:rsidRPr="00AA4F65">
        <w:rPr>
          <w:rFonts w:asciiTheme="minorHAnsi" w:hAnsiTheme="minorHAnsi" w:cstheme="minorHAnsi"/>
          <w:color w:val="3B3B3B"/>
        </w:rPr>
        <w:br/>
      </w:r>
      <w:r w:rsidRPr="00AA4F65">
        <w:rPr>
          <w:rFonts w:asciiTheme="minorHAnsi" w:hAnsiTheme="minorHAnsi" w:cstheme="minorHAnsi"/>
          <w:color w:val="3B3B3B"/>
        </w:rPr>
        <w:br/>
        <w:t xml:space="preserve">17. 10.1 Media ponderata </w:t>
      </w:r>
      <w:proofErr w:type="gramStart"/>
      <w:r w:rsidRPr="00AA4F65">
        <w:rPr>
          <w:rFonts w:asciiTheme="minorHAnsi" w:hAnsiTheme="minorHAnsi" w:cstheme="minorHAnsi"/>
          <w:color w:val="3B3B3B"/>
        </w:rPr>
        <w:t>della tariffe</w:t>
      </w:r>
      <w:proofErr w:type="gramEnd"/>
      <w:r w:rsidRPr="00AA4F65">
        <w:rPr>
          <w:rFonts w:asciiTheme="minorHAnsi" w:hAnsiTheme="minorHAnsi" w:cstheme="minorHAnsi"/>
          <w:color w:val="3B3B3B"/>
        </w:rPr>
        <w:t xml:space="preserve"> a livello mondiale</w:t>
      </w:r>
      <w:r w:rsidRPr="00AA4F65">
        <w:rPr>
          <w:rFonts w:asciiTheme="minorHAnsi" w:hAnsiTheme="minorHAnsi" w:cstheme="minorHAnsi"/>
          <w:color w:val="3B3B3B"/>
        </w:rPr>
        <w:br/>
      </w:r>
      <w:r w:rsidRPr="00AA4F65">
        <w:rPr>
          <w:rFonts w:asciiTheme="minorHAnsi" w:hAnsiTheme="minorHAnsi" w:cstheme="minorHAnsi"/>
          <w:color w:val="3B3B3B"/>
        </w:rPr>
        <w:br/>
        <w:t>17. 11.1 Percentuale di esportazioni globali dei Paesi in via di sviluppo e dei Paesi meno sviluppati</w:t>
      </w:r>
      <w:r w:rsidRPr="00AA4F65">
        <w:rPr>
          <w:rFonts w:asciiTheme="minorHAnsi" w:hAnsiTheme="minorHAnsi" w:cstheme="minorHAnsi"/>
          <w:color w:val="3B3B3B"/>
        </w:rPr>
        <w:br/>
      </w:r>
      <w:r w:rsidRPr="00AA4F65">
        <w:rPr>
          <w:rFonts w:asciiTheme="minorHAnsi" w:hAnsiTheme="minorHAnsi" w:cstheme="minorHAnsi"/>
          <w:color w:val="3B3B3B"/>
        </w:rPr>
        <w:br/>
        <w:t>17.12.1 Tariffe medie pagate dai Paesi in via di sviluppo, dai Paesi meno sviluppati e dai piccoli Stati insulari in via di sviluppo</w:t>
      </w:r>
      <w:r w:rsidRPr="00AA4F65">
        <w:rPr>
          <w:rFonts w:asciiTheme="minorHAnsi" w:hAnsiTheme="minorHAnsi" w:cstheme="minorHAnsi"/>
          <w:color w:val="3B3B3B"/>
        </w:rPr>
        <w:br/>
      </w:r>
      <w:r w:rsidRPr="00AA4F65">
        <w:rPr>
          <w:rFonts w:asciiTheme="minorHAnsi" w:hAnsiTheme="minorHAnsi" w:cstheme="minorHAnsi"/>
          <w:color w:val="3B3B3B"/>
        </w:rPr>
        <w:br/>
        <w:t>17.13.1 Quadro macroeconomico</w:t>
      </w:r>
      <w:r w:rsidRPr="00AA4F65">
        <w:rPr>
          <w:rFonts w:asciiTheme="minorHAnsi" w:hAnsiTheme="minorHAnsi" w:cstheme="minorHAnsi"/>
          <w:color w:val="3B3B3B"/>
        </w:rPr>
        <w:br/>
      </w:r>
      <w:r w:rsidRPr="00AA4F65">
        <w:rPr>
          <w:rFonts w:asciiTheme="minorHAnsi" w:hAnsiTheme="minorHAnsi" w:cstheme="minorHAnsi"/>
          <w:color w:val="3B3B3B"/>
        </w:rPr>
        <w:br/>
        <w:t>17.14.1 Numero di Paesi con meccanismi in atto volti a migliorare la coerenza delle politiche per lo sviluppo sostenibile</w:t>
      </w:r>
      <w:r w:rsidRPr="00AA4F65">
        <w:rPr>
          <w:rFonts w:asciiTheme="minorHAnsi" w:hAnsiTheme="minorHAnsi" w:cstheme="minorHAnsi"/>
          <w:color w:val="3B3B3B"/>
        </w:rPr>
        <w:br/>
      </w:r>
      <w:r w:rsidRPr="00AA4F65">
        <w:rPr>
          <w:rFonts w:asciiTheme="minorHAnsi" w:hAnsiTheme="minorHAnsi" w:cstheme="minorHAnsi"/>
          <w:color w:val="3B3B3B"/>
        </w:rPr>
        <w:lastRenderedPageBreak/>
        <w:br/>
        <w:t>17.15.1 Utilizzo dei risultati dei quadri di riferimento e degli strumenti di pianificazione dei Paesi da parte dei fornitori di cooperazione allo sviluppo</w:t>
      </w:r>
      <w:r w:rsidRPr="00AA4F65">
        <w:rPr>
          <w:rFonts w:asciiTheme="minorHAnsi" w:hAnsiTheme="minorHAnsi" w:cstheme="minorHAnsi"/>
          <w:color w:val="3B3B3B"/>
        </w:rPr>
        <w:br/>
      </w:r>
      <w:r w:rsidRPr="00AA4F65">
        <w:rPr>
          <w:rFonts w:asciiTheme="minorHAnsi" w:hAnsiTheme="minorHAnsi" w:cstheme="minorHAnsi"/>
          <w:color w:val="3B3B3B"/>
        </w:rPr>
        <w:br/>
        <w:t>17.16.1 Numero di Paesi che producono relazioni sull’avanzamento dei quadri di monitoraggio dell’efficacia dello sviluppo multilaterale a sostegno del raggiungimento degli Obiettivi di sviluppo sostenibile</w:t>
      </w:r>
      <w:r w:rsidRPr="00AA4F65">
        <w:rPr>
          <w:rFonts w:asciiTheme="minorHAnsi" w:hAnsiTheme="minorHAnsi" w:cstheme="minorHAnsi"/>
          <w:color w:val="3B3B3B"/>
        </w:rPr>
        <w:br/>
      </w:r>
      <w:r w:rsidRPr="00AA4F65">
        <w:rPr>
          <w:rFonts w:asciiTheme="minorHAnsi" w:hAnsiTheme="minorHAnsi" w:cstheme="minorHAnsi"/>
          <w:color w:val="3B3B3B"/>
        </w:rPr>
        <w:br/>
        <w:t>17.17.1 Ammontare in dollari americani stanziato per il partenariati pubblico-privati e con la società civile</w:t>
      </w:r>
      <w:r w:rsidRPr="00AA4F65">
        <w:rPr>
          <w:rFonts w:asciiTheme="minorHAnsi" w:hAnsiTheme="minorHAnsi" w:cstheme="minorHAnsi"/>
          <w:color w:val="3B3B3B"/>
        </w:rPr>
        <w:br/>
      </w:r>
      <w:r w:rsidRPr="00AA4F65">
        <w:rPr>
          <w:rFonts w:asciiTheme="minorHAnsi" w:hAnsiTheme="minorHAnsi" w:cstheme="minorHAnsi"/>
          <w:color w:val="3B3B3B"/>
        </w:rPr>
        <w:br/>
        <w:t>17.18.1 Percentuale di indicatori dello sviluppo sostenibile prodotti a livello nazionale con disaggregazione totale quando rilevante per il traguardo, in conformità con i Principi fondamentali della statistica ufficiale</w:t>
      </w:r>
      <w:r w:rsidRPr="00AA4F65">
        <w:rPr>
          <w:rFonts w:asciiTheme="minorHAnsi" w:hAnsiTheme="minorHAnsi" w:cstheme="minorHAnsi"/>
          <w:color w:val="3B3B3B"/>
        </w:rPr>
        <w:br/>
      </w:r>
      <w:r w:rsidRPr="00AA4F65">
        <w:rPr>
          <w:rFonts w:asciiTheme="minorHAnsi" w:hAnsiTheme="minorHAnsi" w:cstheme="minorHAnsi"/>
          <w:color w:val="3B3B3B"/>
        </w:rPr>
        <w:br/>
        <w:t>17.18.2 Numero di Paesi con legislazioni statistiche nazionali conformi con i principi fondamentali della statistica ufficiale</w:t>
      </w:r>
      <w:r w:rsidRPr="00AA4F65">
        <w:rPr>
          <w:rFonts w:asciiTheme="minorHAnsi" w:hAnsiTheme="minorHAnsi" w:cstheme="minorHAnsi"/>
          <w:color w:val="3B3B3B"/>
        </w:rPr>
        <w:br/>
      </w:r>
      <w:r w:rsidRPr="00AA4F65">
        <w:rPr>
          <w:rFonts w:asciiTheme="minorHAnsi" w:hAnsiTheme="minorHAnsi" w:cstheme="minorHAnsi"/>
          <w:color w:val="3B3B3B"/>
        </w:rPr>
        <w:br/>
        <w:t>17.18.3 Numero di Paesi con programmi statistici nazionali totalmente finanziati e in attuazione, per fonte di finanziamento</w:t>
      </w:r>
      <w:r w:rsidRPr="00AA4F65">
        <w:rPr>
          <w:rFonts w:asciiTheme="minorHAnsi" w:hAnsiTheme="minorHAnsi" w:cstheme="minorHAnsi"/>
          <w:color w:val="3B3B3B"/>
        </w:rPr>
        <w:br/>
      </w:r>
      <w:r w:rsidRPr="00AA4F65">
        <w:rPr>
          <w:rFonts w:asciiTheme="minorHAnsi" w:hAnsiTheme="minorHAnsi" w:cstheme="minorHAnsi"/>
          <w:color w:val="3B3B3B"/>
        </w:rPr>
        <w:br/>
        <w:t>17.19.1 Valore in dollari di tutte le risorse stanziate per rafforzare la capacità statistica nei Paesi in via di sviluppo</w:t>
      </w:r>
      <w:r w:rsidRPr="00AA4F65">
        <w:rPr>
          <w:rFonts w:asciiTheme="minorHAnsi" w:hAnsiTheme="minorHAnsi" w:cstheme="minorHAnsi"/>
          <w:color w:val="3B3B3B"/>
        </w:rPr>
        <w:br/>
      </w:r>
      <w:r w:rsidRPr="00AA4F65">
        <w:rPr>
          <w:rFonts w:asciiTheme="minorHAnsi" w:hAnsiTheme="minorHAnsi" w:cstheme="minorHAnsi"/>
          <w:color w:val="3B3B3B"/>
        </w:rPr>
        <w:br/>
        <w:t>17.19.2 Percentuale di Paesi che (a) hanno condotto almeno un censimento della popolazione negli ultimi 10 anni e (b) hanno raggiunto il traguardo della registrazione del 100% delle nascite e dell’80% dei decessi</w:t>
      </w:r>
    </w:p>
    <w:p w:rsidR="006C043F" w:rsidRPr="00AA4F65" w:rsidRDefault="006C043F">
      <w:pPr>
        <w:rPr>
          <w:rFonts w:cstheme="minorHAnsi"/>
          <w:sz w:val="24"/>
          <w:szCs w:val="24"/>
        </w:rPr>
      </w:pPr>
    </w:p>
    <w:p w:rsidR="006C043F" w:rsidRPr="00AA4F65" w:rsidRDefault="006C043F">
      <w:pPr>
        <w:rPr>
          <w:rFonts w:cstheme="minorHAnsi"/>
          <w:sz w:val="24"/>
          <w:szCs w:val="24"/>
        </w:rPr>
      </w:pPr>
    </w:p>
    <w:p w:rsidR="006C043F" w:rsidRPr="00AA4F65" w:rsidRDefault="006C043F">
      <w:pPr>
        <w:rPr>
          <w:rFonts w:cstheme="minorHAnsi"/>
          <w:sz w:val="24"/>
          <w:szCs w:val="24"/>
        </w:rPr>
      </w:pPr>
    </w:p>
    <w:p w:rsidR="006C043F" w:rsidRPr="00AA4F65" w:rsidRDefault="006C043F">
      <w:pPr>
        <w:rPr>
          <w:rFonts w:cstheme="minorHAnsi"/>
          <w:sz w:val="24"/>
          <w:szCs w:val="24"/>
        </w:rPr>
      </w:pPr>
    </w:p>
    <w:p w:rsidR="006C043F" w:rsidRPr="00AA4F65" w:rsidRDefault="006C043F">
      <w:pPr>
        <w:rPr>
          <w:rFonts w:cstheme="minorHAnsi"/>
          <w:sz w:val="24"/>
          <w:szCs w:val="24"/>
        </w:rPr>
      </w:pPr>
    </w:p>
    <w:sectPr w:rsidR="006C043F" w:rsidRPr="00AA4F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77D1E"/>
    <w:rsid w:val="003F5039"/>
    <w:rsid w:val="006C043F"/>
    <w:rsid w:val="00986B0C"/>
    <w:rsid w:val="00AA4F65"/>
    <w:rsid w:val="00E70189"/>
    <w:rsid w:val="00F86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EBE5"/>
  <w15:chartTrackingRefBased/>
  <w15:docId w15:val="{2982A0D5-7DF3-420E-B06F-F2D28EC1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st-desc">
    <w:name w:val="post-desc"/>
    <w:basedOn w:val="Normale"/>
    <w:rsid w:val="006C04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043F"/>
    <w:rPr>
      <w:b/>
      <w:bCs/>
    </w:rPr>
  </w:style>
  <w:style w:type="paragraph" w:styleId="NormaleWeb">
    <w:name w:val="Normal (Web)"/>
    <w:basedOn w:val="Normale"/>
    <w:uiPriority w:val="99"/>
    <w:semiHidden/>
    <w:unhideWhenUsed/>
    <w:rsid w:val="006C04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783">
      <w:bodyDiv w:val="1"/>
      <w:marLeft w:val="0"/>
      <w:marRight w:val="0"/>
      <w:marTop w:val="0"/>
      <w:marBottom w:val="0"/>
      <w:divBdr>
        <w:top w:val="none" w:sz="0" w:space="0" w:color="auto"/>
        <w:left w:val="none" w:sz="0" w:space="0" w:color="auto"/>
        <w:bottom w:val="none" w:sz="0" w:space="0" w:color="auto"/>
        <w:right w:val="none" w:sz="0" w:space="0" w:color="auto"/>
      </w:divBdr>
    </w:div>
    <w:div w:id="123817898">
      <w:bodyDiv w:val="1"/>
      <w:marLeft w:val="0"/>
      <w:marRight w:val="0"/>
      <w:marTop w:val="0"/>
      <w:marBottom w:val="0"/>
      <w:divBdr>
        <w:top w:val="none" w:sz="0" w:space="0" w:color="auto"/>
        <w:left w:val="none" w:sz="0" w:space="0" w:color="auto"/>
        <w:bottom w:val="none" w:sz="0" w:space="0" w:color="auto"/>
        <w:right w:val="none" w:sz="0" w:space="0" w:color="auto"/>
      </w:divBdr>
    </w:div>
    <w:div w:id="158618122">
      <w:bodyDiv w:val="1"/>
      <w:marLeft w:val="0"/>
      <w:marRight w:val="0"/>
      <w:marTop w:val="0"/>
      <w:marBottom w:val="0"/>
      <w:divBdr>
        <w:top w:val="none" w:sz="0" w:space="0" w:color="auto"/>
        <w:left w:val="none" w:sz="0" w:space="0" w:color="auto"/>
        <w:bottom w:val="none" w:sz="0" w:space="0" w:color="auto"/>
        <w:right w:val="none" w:sz="0" w:space="0" w:color="auto"/>
      </w:divBdr>
    </w:div>
    <w:div w:id="183060326">
      <w:bodyDiv w:val="1"/>
      <w:marLeft w:val="0"/>
      <w:marRight w:val="0"/>
      <w:marTop w:val="0"/>
      <w:marBottom w:val="0"/>
      <w:divBdr>
        <w:top w:val="none" w:sz="0" w:space="0" w:color="auto"/>
        <w:left w:val="none" w:sz="0" w:space="0" w:color="auto"/>
        <w:bottom w:val="none" w:sz="0" w:space="0" w:color="auto"/>
        <w:right w:val="none" w:sz="0" w:space="0" w:color="auto"/>
      </w:divBdr>
    </w:div>
    <w:div w:id="292104661">
      <w:bodyDiv w:val="1"/>
      <w:marLeft w:val="0"/>
      <w:marRight w:val="0"/>
      <w:marTop w:val="0"/>
      <w:marBottom w:val="0"/>
      <w:divBdr>
        <w:top w:val="none" w:sz="0" w:space="0" w:color="auto"/>
        <w:left w:val="none" w:sz="0" w:space="0" w:color="auto"/>
        <w:bottom w:val="none" w:sz="0" w:space="0" w:color="auto"/>
        <w:right w:val="none" w:sz="0" w:space="0" w:color="auto"/>
      </w:divBdr>
    </w:div>
    <w:div w:id="414866874">
      <w:bodyDiv w:val="1"/>
      <w:marLeft w:val="0"/>
      <w:marRight w:val="0"/>
      <w:marTop w:val="0"/>
      <w:marBottom w:val="0"/>
      <w:divBdr>
        <w:top w:val="none" w:sz="0" w:space="0" w:color="auto"/>
        <w:left w:val="none" w:sz="0" w:space="0" w:color="auto"/>
        <w:bottom w:val="none" w:sz="0" w:space="0" w:color="auto"/>
        <w:right w:val="none" w:sz="0" w:space="0" w:color="auto"/>
      </w:divBdr>
    </w:div>
    <w:div w:id="419763136">
      <w:bodyDiv w:val="1"/>
      <w:marLeft w:val="0"/>
      <w:marRight w:val="0"/>
      <w:marTop w:val="0"/>
      <w:marBottom w:val="0"/>
      <w:divBdr>
        <w:top w:val="none" w:sz="0" w:space="0" w:color="auto"/>
        <w:left w:val="none" w:sz="0" w:space="0" w:color="auto"/>
        <w:bottom w:val="none" w:sz="0" w:space="0" w:color="auto"/>
        <w:right w:val="none" w:sz="0" w:space="0" w:color="auto"/>
      </w:divBdr>
    </w:div>
    <w:div w:id="539241038">
      <w:bodyDiv w:val="1"/>
      <w:marLeft w:val="0"/>
      <w:marRight w:val="0"/>
      <w:marTop w:val="0"/>
      <w:marBottom w:val="0"/>
      <w:divBdr>
        <w:top w:val="none" w:sz="0" w:space="0" w:color="auto"/>
        <w:left w:val="none" w:sz="0" w:space="0" w:color="auto"/>
        <w:bottom w:val="none" w:sz="0" w:space="0" w:color="auto"/>
        <w:right w:val="none" w:sz="0" w:space="0" w:color="auto"/>
      </w:divBdr>
    </w:div>
    <w:div w:id="544491462">
      <w:bodyDiv w:val="1"/>
      <w:marLeft w:val="0"/>
      <w:marRight w:val="0"/>
      <w:marTop w:val="0"/>
      <w:marBottom w:val="0"/>
      <w:divBdr>
        <w:top w:val="none" w:sz="0" w:space="0" w:color="auto"/>
        <w:left w:val="none" w:sz="0" w:space="0" w:color="auto"/>
        <w:bottom w:val="none" w:sz="0" w:space="0" w:color="auto"/>
        <w:right w:val="none" w:sz="0" w:space="0" w:color="auto"/>
      </w:divBdr>
    </w:div>
    <w:div w:id="600188642">
      <w:bodyDiv w:val="1"/>
      <w:marLeft w:val="0"/>
      <w:marRight w:val="0"/>
      <w:marTop w:val="0"/>
      <w:marBottom w:val="0"/>
      <w:divBdr>
        <w:top w:val="none" w:sz="0" w:space="0" w:color="auto"/>
        <w:left w:val="none" w:sz="0" w:space="0" w:color="auto"/>
        <w:bottom w:val="none" w:sz="0" w:space="0" w:color="auto"/>
        <w:right w:val="none" w:sz="0" w:space="0" w:color="auto"/>
      </w:divBdr>
    </w:div>
    <w:div w:id="625627525">
      <w:bodyDiv w:val="1"/>
      <w:marLeft w:val="0"/>
      <w:marRight w:val="0"/>
      <w:marTop w:val="0"/>
      <w:marBottom w:val="0"/>
      <w:divBdr>
        <w:top w:val="none" w:sz="0" w:space="0" w:color="auto"/>
        <w:left w:val="none" w:sz="0" w:space="0" w:color="auto"/>
        <w:bottom w:val="none" w:sz="0" w:space="0" w:color="auto"/>
        <w:right w:val="none" w:sz="0" w:space="0" w:color="auto"/>
      </w:divBdr>
    </w:div>
    <w:div w:id="629943667">
      <w:bodyDiv w:val="1"/>
      <w:marLeft w:val="0"/>
      <w:marRight w:val="0"/>
      <w:marTop w:val="0"/>
      <w:marBottom w:val="0"/>
      <w:divBdr>
        <w:top w:val="none" w:sz="0" w:space="0" w:color="auto"/>
        <w:left w:val="none" w:sz="0" w:space="0" w:color="auto"/>
        <w:bottom w:val="none" w:sz="0" w:space="0" w:color="auto"/>
        <w:right w:val="none" w:sz="0" w:space="0" w:color="auto"/>
      </w:divBdr>
    </w:div>
    <w:div w:id="701706062">
      <w:bodyDiv w:val="1"/>
      <w:marLeft w:val="0"/>
      <w:marRight w:val="0"/>
      <w:marTop w:val="0"/>
      <w:marBottom w:val="0"/>
      <w:divBdr>
        <w:top w:val="none" w:sz="0" w:space="0" w:color="auto"/>
        <w:left w:val="none" w:sz="0" w:space="0" w:color="auto"/>
        <w:bottom w:val="none" w:sz="0" w:space="0" w:color="auto"/>
        <w:right w:val="none" w:sz="0" w:space="0" w:color="auto"/>
      </w:divBdr>
    </w:div>
    <w:div w:id="784272924">
      <w:bodyDiv w:val="1"/>
      <w:marLeft w:val="0"/>
      <w:marRight w:val="0"/>
      <w:marTop w:val="0"/>
      <w:marBottom w:val="0"/>
      <w:divBdr>
        <w:top w:val="none" w:sz="0" w:space="0" w:color="auto"/>
        <w:left w:val="none" w:sz="0" w:space="0" w:color="auto"/>
        <w:bottom w:val="none" w:sz="0" w:space="0" w:color="auto"/>
        <w:right w:val="none" w:sz="0" w:space="0" w:color="auto"/>
      </w:divBdr>
    </w:div>
    <w:div w:id="851452016">
      <w:bodyDiv w:val="1"/>
      <w:marLeft w:val="0"/>
      <w:marRight w:val="0"/>
      <w:marTop w:val="0"/>
      <w:marBottom w:val="0"/>
      <w:divBdr>
        <w:top w:val="none" w:sz="0" w:space="0" w:color="auto"/>
        <w:left w:val="none" w:sz="0" w:space="0" w:color="auto"/>
        <w:bottom w:val="none" w:sz="0" w:space="0" w:color="auto"/>
        <w:right w:val="none" w:sz="0" w:space="0" w:color="auto"/>
      </w:divBdr>
    </w:div>
    <w:div w:id="1041635165">
      <w:bodyDiv w:val="1"/>
      <w:marLeft w:val="0"/>
      <w:marRight w:val="0"/>
      <w:marTop w:val="0"/>
      <w:marBottom w:val="0"/>
      <w:divBdr>
        <w:top w:val="none" w:sz="0" w:space="0" w:color="auto"/>
        <w:left w:val="none" w:sz="0" w:space="0" w:color="auto"/>
        <w:bottom w:val="none" w:sz="0" w:space="0" w:color="auto"/>
        <w:right w:val="none" w:sz="0" w:space="0" w:color="auto"/>
      </w:divBdr>
    </w:div>
    <w:div w:id="1135874437">
      <w:bodyDiv w:val="1"/>
      <w:marLeft w:val="0"/>
      <w:marRight w:val="0"/>
      <w:marTop w:val="0"/>
      <w:marBottom w:val="0"/>
      <w:divBdr>
        <w:top w:val="none" w:sz="0" w:space="0" w:color="auto"/>
        <w:left w:val="none" w:sz="0" w:space="0" w:color="auto"/>
        <w:bottom w:val="none" w:sz="0" w:space="0" w:color="auto"/>
        <w:right w:val="none" w:sz="0" w:space="0" w:color="auto"/>
      </w:divBdr>
    </w:div>
    <w:div w:id="1271429322">
      <w:bodyDiv w:val="1"/>
      <w:marLeft w:val="0"/>
      <w:marRight w:val="0"/>
      <w:marTop w:val="0"/>
      <w:marBottom w:val="0"/>
      <w:divBdr>
        <w:top w:val="none" w:sz="0" w:space="0" w:color="auto"/>
        <w:left w:val="none" w:sz="0" w:space="0" w:color="auto"/>
        <w:bottom w:val="none" w:sz="0" w:space="0" w:color="auto"/>
        <w:right w:val="none" w:sz="0" w:space="0" w:color="auto"/>
      </w:divBdr>
    </w:div>
    <w:div w:id="1352411755">
      <w:bodyDiv w:val="1"/>
      <w:marLeft w:val="0"/>
      <w:marRight w:val="0"/>
      <w:marTop w:val="0"/>
      <w:marBottom w:val="0"/>
      <w:divBdr>
        <w:top w:val="none" w:sz="0" w:space="0" w:color="auto"/>
        <w:left w:val="none" w:sz="0" w:space="0" w:color="auto"/>
        <w:bottom w:val="none" w:sz="0" w:space="0" w:color="auto"/>
        <w:right w:val="none" w:sz="0" w:space="0" w:color="auto"/>
      </w:divBdr>
    </w:div>
    <w:div w:id="1450050591">
      <w:bodyDiv w:val="1"/>
      <w:marLeft w:val="0"/>
      <w:marRight w:val="0"/>
      <w:marTop w:val="0"/>
      <w:marBottom w:val="0"/>
      <w:divBdr>
        <w:top w:val="none" w:sz="0" w:space="0" w:color="auto"/>
        <w:left w:val="none" w:sz="0" w:space="0" w:color="auto"/>
        <w:bottom w:val="none" w:sz="0" w:space="0" w:color="auto"/>
        <w:right w:val="none" w:sz="0" w:space="0" w:color="auto"/>
      </w:divBdr>
    </w:div>
    <w:div w:id="1460688888">
      <w:bodyDiv w:val="1"/>
      <w:marLeft w:val="0"/>
      <w:marRight w:val="0"/>
      <w:marTop w:val="0"/>
      <w:marBottom w:val="0"/>
      <w:divBdr>
        <w:top w:val="none" w:sz="0" w:space="0" w:color="auto"/>
        <w:left w:val="none" w:sz="0" w:space="0" w:color="auto"/>
        <w:bottom w:val="none" w:sz="0" w:space="0" w:color="auto"/>
        <w:right w:val="none" w:sz="0" w:space="0" w:color="auto"/>
      </w:divBdr>
    </w:div>
    <w:div w:id="1472407769">
      <w:bodyDiv w:val="1"/>
      <w:marLeft w:val="0"/>
      <w:marRight w:val="0"/>
      <w:marTop w:val="0"/>
      <w:marBottom w:val="0"/>
      <w:divBdr>
        <w:top w:val="none" w:sz="0" w:space="0" w:color="auto"/>
        <w:left w:val="none" w:sz="0" w:space="0" w:color="auto"/>
        <w:bottom w:val="none" w:sz="0" w:space="0" w:color="auto"/>
        <w:right w:val="none" w:sz="0" w:space="0" w:color="auto"/>
      </w:divBdr>
    </w:div>
    <w:div w:id="1662929823">
      <w:bodyDiv w:val="1"/>
      <w:marLeft w:val="0"/>
      <w:marRight w:val="0"/>
      <w:marTop w:val="0"/>
      <w:marBottom w:val="0"/>
      <w:divBdr>
        <w:top w:val="none" w:sz="0" w:space="0" w:color="auto"/>
        <w:left w:val="none" w:sz="0" w:space="0" w:color="auto"/>
        <w:bottom w:val="none" w:sz="0" w:space="0" w:color="auto"/>
        <w:right w:val="none" w:sz="0" w:space="0" w:color="auto"/>
      </w:divBdr>
    </w:div>
    <w:div w:id="1872765390">
      <w:bodyDiv w:val="1"/>
      <w:marLeft w:val="0"/>
      <w:marRight w:val="0"/>
      <w:marTop w:val="0"/>
      <w:marBottom w:val="0"/>
      <w:divBdr>
        <w:top w:val="none" w:sz="0" w:space="0" w:color="auto"/>
        <w:left w:val="none" w:sz="0" w:space="0" w:color="auto"/>
        <w:bottom w:val="none" w:sz="0" w:space="0" w:color="auto"/>
        <w:right w:val="none" w:sz="0" w:space="0" w:color="auto"/>
      </w:divBdr>
    </w:div>
    <w:div w:id="1921327979">
      <w:bodyDiv w:val="1"/>
      <w:marLeft w:val="0"/>
      <w:marRight w:val="0"/>
      <w:marTop w:val="0"/>
      <w:marBottom w:val="0"/>
      <w:divBdr>
        <w:top w:val="none" w:sz="0" w:space="0" w:color="auto"/>
        <w:left w:val="none" w:sz="0" w:space="0" w:color="auto"/>
        <w:bottom w:val="none" w:sz="0" w:space="0" w:color="auto"/>
        <w:right w:val="none" w:sz="0" w:space="0" w:color="auto"/>
      </w:divBdr>
    </w:div>
    <w:div w:id="1931087093">
      <w:bodyDiv w:val="1"/>
      <w:marLeft w:val="0"/>
      <w:marRight w:val="0"/>
      <w:marTop w:val="0"/>
      <w:marBottom w:val="0"/>
      <w:divBdr>
        <w:top w:val="none" w:sz="0" w:space="0" w:color="auto"/>
        <w:left w:val="none" w:sz="0" w:space="0" w:color="auto"/>
        <w:bottom w:val="none" w:sz="0" w:space="0" w:color="auto"/>
        <w:right w:val="none" w:sz="0" w:space="0" w:color="auto"/>
      </w:divBdr>
    </w:div>
    <w:div w:id="2036492212">
      <w:bodyDiv w:val="1"/>
      <w:marLeft w:val="0"/>
      <w:marRight w:val="0"/>
      <w:marTop w:val="0"/>
      <w:marBottom w:val="0"/>
      <w:divBdr>
        <w:top w:val="none" w:sz="0" w:space="0" w:color="auto"/>
        <w:left w:val="none" w:sz="0" w:space="0" w:color="auto"/>
        <w:bottom w:val="none" w:sz="0" w:space="0" w:color="auto"/>
        <w:right w:val="none" w:sz="0" w:space="0" w:color="auto"/>
      </w:divBdr>
    </w:div>
    <w:div w:id="2070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2294</Words>
  <Characters>13079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D'andrea</dc:creator>
  <cp:keywords/>
  <dc:description/>
  <cp:lastModifiedBy>Giuseppe D'andrea</cp:lastModifiedBy>
  <cp:revision>6</cp:revision>
  <dcterms:created xsi:type="dcterms:W3CDTF">2019-02-05T12:25:00Z</dcterms:created>
  <dcterms:modified xsi:type="dcterms:W3CDTF">2019-03-14T11:11:00Z</dcterms:modified>
</cp:coreProperties>
</file>